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i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 xml:space="preserve">Список работодателей Камчатского края, подавших заявку на участие  в  </w:t>
      </w:r>
      <w:r>
        <w:rPr>
          <w:rFonts w:ascii="Times New Roman" w:hAnsi="Times New Roman"/>
          <w:b w:val="1"/>
          <w:i w:val="1"/>
          <w:sz w:val="32"/>
        </w:rPr>
        <w:t>региональном конкурсе «Лучший работодатель в сфере занятости населения в Камчатском крае»</w:t>
      </w:r>
      <w:r>
        <w:rPr>
          <w:rFonts w:ascii="Times New Roman" w:hAnsi="Times New Roman"/>
          <w:b w:val="1"/>
          <w:i w:val="1"/>
          <w:sz w:val="32"/>
        </w:rPr>
        <w:t xml:space="preserve"> </w:t>
      </w:r>
    </w:p>
    <w:p w14:paraId="02000000">
      <w:pPr>
        <w:ind/>
        <w:jc w:val="center"/>
        <w:rPr>
          <w:rFonts w:ascii="Times New Roman" w:hAnsi="Times New Roman"/>
          <w:b w:val="1"/>
          <w:i w:val="1"/>
          <w:sz w:val="32"/>
        </w:rPr>
      </w:pPr>
    </w:p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1"/>
        <w:gridCol w:w="9626"/>
      </w:tblGrid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 xml:space="preserve">п/п 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Номинация </w:t>
            </w:r>
            <w:r>
              <w:rPr>
                <w:rFonts w:ascii="Times New Roman" w:hAnsi="Times New Roman"/>
                <w:sz w:val="28"/>
              </w:rPr>
              <w:t>«Инклюзия и равные возможности»</w:t>
            </w:r>
          </w:p>
          <w:p w14:paraId="0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Краевое государственное унитарное предприятие «Камчатский водоканал»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Дальневосточное главное управление Отделение по Камчатскому краю Центрального банка Российской Федерации 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Автономная некоммерческая организация ресурсный центр поддержки инвалидов «Мир без границ»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«Фундамент будущего»</w:t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автономное учреждение «Молодежный центр Петропавловск-Камчатского городского округа»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120" w:before="120"/>
              <w:ind w:firstLine="0" w:left="120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Краевая государственная общеобразовательная бюджетное учреждение «Мильковская средняя школа № 42»</w:t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Краевое государственное автономное у</w:t>
            </w:r>
            <w:r>
              <w:rPr>
                <w:rFonts w:ascii="Times New Roman" w:hAnsi="Times New Roman"/>
                <w:sz w:val="28"/>
              </w:rPr>
              <w:t>чреждение социальной защиты «Камчатский центр социального обслуживания населения Петропавловск-Камчатского городского округа»</w:t>
            </w:r>
          </w:p>
        </w:tc>
      </w:tr>
      <w:tr>
        <w:trPr>
          <w:trHeight w:hRule="atLeast" w:val="360"/>
        </w:trPr>
        <w:tc>
          <w:tcPr>
            <w:tcW w:type="dxa" w:w="1020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120" w:before="120"/>
              <w:ind w:firstLine="0" w:left="120" w:right="1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 «Вторая карьера»</w:t>
            </w:r>
            <w: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5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9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Муниципальное казенное учреждение «Центр экономического развития»</w:t>
            </w:r>
          </w:p>
        </w:tc>
      </w:tr>
    </w:tbl>
    <w:p w14:paraId="16000000">
      <w:pPr>
        <w:ind/>
        <w:jc w:val="center"/>
        <w:rPr>
          <w:rFonts w:ascii="Times New Roman" w:hAnsi="Times New Roman"/>
          <w:b w:val="1"/>
          <w:i w:val="1"/>
          <w:sz w:val="32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2025-04-01T03:49:41Z</dcterms:modified>
</cp:coreProperties>
</file>