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left="0" w:right="-2" w:firstLine="5103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Приложение 1 к приказу Министерства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bidi w:val="0"/>
        <w:spacing w:lineRule="auto" w:line="240" w:before="0" w:after="0"/>
        <w:ind w:left="5102" w:right="0" w:hanging="0"/>
        <w:jc w:val="left"/>
        <w:rPr>
          <w:sz w:val="24"/>
          <w:szCs w:val="24"/>
        </w:rPr>
      </w:pPr>
      <w:r>
        <w:rPr>
          <w:rFonts w:ascii="Times New Roman" w:hAnsi="Times New Roman"/>
          <w:color w:val="000000"/>
          <w:spacing w:val="0"/>
          <w:sz w:val="24"/>
          <w:szCs w:val="24"/>
        </w:rPr>
        <w:t>труда и развития кадрового потенциала Камчатского кра</w:t>
      </w:r>
      <w:r>
        <w:rPr>
          <w:rFonts w:ascii="Times New Roman" w:hAnsi="Times New Roman"/>
          <w:sz w:val="24"/>
          <w:szCs w:val="24"/>
        </w:rPr>
        <w:t>я</w:t>
      </w:r>
    </w:p>
    <w:tbl>
      <w:tblPr>
        <w:tblStyle w:val="Style_2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869"/>
        <w:gridCol w:w="487"/>
        <w:gridCol w:w="1700"/>
      </w:tblGrid>
      <w:tr>
        <w:trPr/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-65" w:right="0" w:hanging="0"/>
              <w:jc w:val="right"/>
              <w:rPr>
                <w:spacing w:val="0"/>
                <w:kern w:val="0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center"/>
              <w:rPr>
                <w:spacing w:val="0"/>
                <w:kern w:val="0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30.01.2025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right"/>
              <w:rPr>
                <w:spacing w:val="0"/>
                <w:kern w:val="0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0" w:right="0" w:hanging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13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right="0" w:hanging="0"/>
        <w:jc w:val="center"/>
        <w:outlineLvl w:val="3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  <w:t>Положение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right="0" w:hanging="0"/>
        <w:jc w:val="center"/>
        <w:outlineLvl w:val="3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  <w:t>о проведении конкурса детских рисунков «Охрана труда глазами детей»</w:t>
      </w:r>
    </w:p>
    <w:p>
      <w:pPr>
        <w:pStyle w:val="Normal"/>
        <w:spacing w:lineRule="auto" w:line="276" w:before="0" w:after="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</w:r>
    </w:p>
    <w:p>
      <w:pPr>
        <w:pStyle w:val="Normal"/>
        <w:spacing w:lineRule="auto" w:line="276" w:before="0" w:after="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 Общие положения</w:t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</w:r>
    </w:p>
    <w:p>
      <w:pPr>
        <w:pStyle w:val="Normal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 Настоящее Положение устанавливает порядок организации проведения и определения победителей конкурса детских рисунков «Охрана труда глазами детей» (далее – Конкурс).</w:t>
      </w:r>
    </w:p>
    <w:p>
      <w:pPr>
        <w:pStyle w:val="Normal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Организатором Конкурса является Министерство труда и развития кадрового потенциала Камчатского края при участии Федерации профсоюзов Камчатки (по согласованию).</w:t>
      </w:r>
    </w:p>
    <w:p>
      <w:pPr>
        <w:pStyle w:val="Normal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3. К организации проведения Конкурса допускаются</w:t>
      </w:r>
      <w:r>
        <w:rPr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по согласованию Министерством представители общественных объединений (союзов), входящих в состав сторон социального партнерства в Камчатском крае.</w:t>
      </w:r>
    </w:p>
    <w:p>
      <w:pPr>
        <w:pStyle w:val="Normal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4. Участие в конкурсе осуществляется на бесплатной и добровольной основе.</w:t>
      </w:r>
    </w:p>
    <w:p>
      <w:pPr>
        <w:pStyle w:val="Normal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5. Конкурс проводится в целях пропаганды охраны труда и обеспечения безопасности труда работников. Достижение указанной цели планируется путём привлечения общественности к проблемам производственного травматизма и его профилактике. При этом проведение Конкурса направлено на формирование осознанного отношения подрастающего поколения к вопросам безопасности труда и сохранения здоровья при производственной деятельности.</w:t>
      </w:r>
    </w:p>
    <w:p>
      <w:pPr>
        <w:pStyle w:val="Normal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Основными задачами Конкурса являются: формирование у детей и подростков внимательного отношения к вопросам безопасности труда и сохранения своего здоровья; воспитание у детей и подростков уважительного отношения к труду и охране труда.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Информация о Конкурсе, сроках и условиях его проведения размещается в сети «Интернет» на официальном сайте Министерства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hyperlink r:id="rId2">
        <w:r>
          <w:rPr>
            <w:rStyle w:val="Style9"/>
            <w:rFonts w:ascii="Times New Roman" w:hAnsi="Times New Roman"/>
            <w:color w:val="000000"/>
            <w:sz w:val="26"/>
            <w:szCs w:val="26"/>
            <w:u w:val="none"/>
          </w:rPr>
          <w:t>https://www.kamgov.ru/agzanyat</w:t>
        </w:r>
      </w:hyperlink>
      <w:r>
        <w:rPr>
          <w:u w:val="none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 xml:space="preserve"> и Федерации профсоюзов Камчатки (http://profkam.ru/).</w:t>
      </w:r>
    </w:p>
    <w:p>
      <w:pPr>
        <w:pStyle w:val="Normal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  Условия участия в Конкурсе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  К участию в Конкурсе допускаются работы детей в возрасте от 7 до 16 лет включительно, проживающих на территории Камчатского края.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 Конкурс работ проводится по трем возрастным категориям: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 категория - с 7 до 10 лет (включительно);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 категория - с 11 до 13 лет (включительно);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 категория – с 14 до 16 лет (включительно).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 Результатом работы детей является рисунок, который может быть выполнен участником на любом практичном материале (ватман, картон, холст и т.д.) форматов А4, АЗ, в любой технике рисования (масло, акварель, тушь, цветные карандаши, мелки и т.д.) без рамок и ламинирования.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Рисунок должен носить позитивный или информативный характер, а содержание работы должно соответствовать заданной тематике.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 К конкурсной работе (рисунку) с лицевой стороны справа внизу необходимо прикрепить любым доступным способом этикетку размером 5 см х 10 см, которая должна содержать следующую информацию: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название работы;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фамилия, имя, отчество (при наличии) автора (полностью);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возраст автора на дату подачи заявки на участие в конкурсе или дата его рождения; 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Этикетка заполняется на компьютере (шрифт Times New Roman, </w:t>
        <w:br/>
        <w:t xml:space="preserve">размер 14) или вручную печатными буквами. 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12. Для участия в конкурсе участниками предоставляются в Министерство (на адрес: </w:t>
      </w:r>
      <w:hyperlink r:id="rId3">
        <w:r>
          <w:rPr>
            <w:rFonts w:ascii="Times New Roman" w:hAnsi="Times New Roman"/>
            <w:color w:val="000000"/>
            <w:sz w:val="26"/>
            <w:u w:val="none"/>
          </w:rPr>
          <w:t>AgZanyat@kamgov.ru</w:t>
        </w:r>
      </w:hyperlink>
      <w:r>
        <w:rPr>
          <w:rFonts w:ascii="Times New Roman" w:hAnsi="Times New Roman"/>
          <w:sz w:val="26"/>
        </w:rPr>
        <w:t>) отсканированные (либо сфотографированные) рисунки с разрешением 300 dpi (далее – в электронном виде).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Допускается предоставление участниками конкурса рисунков в оригинале (не в электронном виде). В указанном случае конкурсные работы не возвращаются. В случае пересылки рисунков в оригинале не допускается их свертывание и сгибание.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Оригинальные рисунки предоставляются по адресу: ул. Ленинградская, д.72, Петропавловск-Камчатский, 683003.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13. К рисунку в обязательном порядке прилагаются: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письменная заявка на участие в конкурсе детских рисунков, подписанная руководителем образовательного учреждения или учреждения социальной защиты (в случае выдвижения участника учреждением) либо законным представителем участника Конкурса, по форме согласно приложению 2 к приказу Министерства (далее – заявка на участие в конкурсе). 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если работа участника Конкурса выдвигается вышеуказанным учреждением, то заявка дополнительно заверяется печатью учреждения;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согласие на обработку персональных данных законного представителя в отношении себя и ребенка (приложение 3 к приказу Министерства);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trike/>
          <w:sz w:val="26"/>
          <w:shd w:fill="FFD821" w:val="clear"/>
        </w:rPr>
      </w:pPr>
      <w:r>
        <w:rPr>
          <w:rFonts w:ascii="Times New Roman" w:hAnsi="Times New Roman"/>
          <w:strike w:val="false"/>
          <w:dstrike w:val="false"/>
          <w:sz w:val="26"/>
        </w:rPr>
        <w:t>14. От за</w:t>
      </w:r>
      <w:r>
        <w:rPr>
          <w:rFonts w:ascii="Times New Roman" w:hAnsi="Times New Roman"/>
          <w:sz w:val="26"/>
        </w:rPr>
        <w:t>конных представителей участников Конкурса, предоставляется не более одной работы от ребёнка по каждой возрастной группе, указанной в пункте 9 настоящего Положения.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 Рисунки, оформленные ненадлежащим образом, не соответствующие тематике, либо не имеющие приложенной заявки и (или) согласия на обработку персональных данных к Конкурсу не допускаются.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 Порядок и сроки проведения Конкурса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16. Срок приёма заявок и конкурсных работ с 1 февраля 2025 года </w:t>
        <w:br/>
        <w:t xml:space="preserve">до 1 мая 2025 года. </w:t>
      </w:r>
    </w:p>
    <w:p>
      <w:pPr>
        <w:pStyle w:val="Normal"/>
        <w:widowControl w:val="false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17. Для рассмотрения заявок, конкурсных работ и подведения итогов</w:t>
        <w:br/>
        <w:t>Конкурса Министерством формируется жюри, которое состоит из председателя и не менее чем двух членов жюри.</w:t>
      </w:r>
    </w:p>
    <w:p>
      <w:pPr>
        <w:pStyle w:val="Normal"/>
        <w:widowControl w:val="false"/>
        <w:spacing w:lineRule="auto" w:line="276" w:before="0" w:after="0"/>
        <w:ind w:left="0" w:right="0" w:firstLine="709"/>
        <w:jc w:val="both"/>
        <w:rPr>
          <w:rFonts w:ascii="Times New Roman" w:hAnsi="Times New Roman"/>
          <w:i/>
          <w:i/>
          <w:sz w:val="26"/>
        </w:rPr>
      </w:pPr>
      <w:r>
        <w:rPr>
          <w:rFonts w:ascii="Times New Roman" w:hAnsi="Times New Roman"/>
          <w:sz w:val="26"/>
        </w:rPr>
        <w:t xml:space="preserve">18. Состав жюри утверждается приказом Министерства в срок до 1 мая 2025 года. 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19. Состав жюри формируется из числа представителей Министерства, представителей сторон социального партнёрства в Камчатском крае (по согласованию) и Государственной инспекции труда в Камчатском крае (по согласованию). 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20. Заседание жюри Конкурса проводится до 5 июня 2025 года.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21. Заседание жюри Конкурса считается правомочным, если на нем присутствует не менее половины его членов. 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22. Решение жюри о победителях и призерах Конкурса, а также </w:t>
        <w:br/>
        <w:t>решение о времени и месте награждения победителей и призёров Конкурса оформляются протоколом, который подписывают председатель и члены жюри, принимавшие участие в заседании.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Подведение итогов Конкурса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23. Победителями Конкурса являются участники, занявшие первое место, призерами - участники, занявшие второе и третье место. Победители </w:t>
        <w:br/>
        <w:t>и призеры определяются в рейтинге участников, сформированном на основе балльной шкалы оценки каждого критерия конкурсного отбора.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24. Победители и призеры Конкурса определяются в возрастных группах, указанных в пункте 9 настоящего Положения.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25. Оценка конкурсных работ по каждой возрастной группе проводится членами жюри согласно критериям оценки, указанным в таблице: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94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6655"/>
        <w:gridCol w:w="2261"/>
      </w:tblGrid>
      <w:tr>
        <w:trPr/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lineRule="auto" w:line="240" w:before="0" w:after="0"/>
              <w:ind w:left="0" w:right="-54" w:firstLine="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lineRule="auto" w:line="240" w:before="0" w:after="0"/>
              <w:ind w:left="0" w:right="-54" w:firstLine="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п/п</w:t>
            </w:r>
          </w:p>
        </w:tc>
        <w:tc>
          <w:tcPr>
            <w:tcW w:w="66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20" w:right="0" w:hanging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Наименование показателей</w:t>
            </w:r>
          </w:p>
        </w:tc>
        <w:tc>
          <w:tcPr>
            <w:tcW w:w="22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right="0" w:hanging="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Максимальное количество баллов</w:t>
            </w:r>
          </w:p>
        </w:tc>
      </w:tr>
      <w:tr>
        <w:trPr/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lineRule="auto" w:line="360" w:before="0" w:after="0"/>
              <w:ind w:left="0" w:right="-54" w:firstLine="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1.</w:t>
            </w:r>
          </w:p>
        </w:tc>
        <w:tc>
          <w:tcPr>
            <w:tcW w:w="6655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Максимальное отражение темы Конкурса</w:t>
            </w:r>
          </w:p>
        </w:tc>
        <w:tc>
          <w:tcPr>
            <w:tcW w:w="2261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10</w:t>
            </w:r>
          </w:p>
        </w:tc>
      </w:tr>
      <w:tr>
        <w:trPr/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lineRule="auto" w:line="360" w:before="0" w:after="0"/>
              <w:ind w:left="0" w:right="-54" w:firstLine="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2.</w:t>
            </w:r>
          </w:p>
        </w:tc>
        <w:tc>
          <w:tcPr>
            <w:tcW w:w="6655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Оригинальность образного решения, новизна;</w:t>
            </w:r>
          </w:p>
        </w:tc>
        <w:tc>
          <w:tcPr>
            <w:tcW w:w="2261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10</w:t>
            </w:r>
          </w:p>
        </w:tc>
      </w:tr>
      <w:tr>
        <w:trPr/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lineRule="auto" w:line="360" w:before="0" w:after="0"/>
              <w:ind w:left="0" w:right="-54" w:firstLine="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3.</w:t>
            </w:r>
          </w:p>
        </w:tc>
        <w:tc>
          <w:tcPr>
            <w:tcW w:w="6655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Творческий подход, фантазия, владение выбранной техникой, применение новых технологий и материалов;</w:t>
            </w:r>
          </w:p>
        </w:tc>
        <w:tc>
          <w:tcPr>
            <w:tcW w:w="2261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10</w:t>
            </w:r>
          </w:p>
        </w:tc>
      </w:tr>
      <w:tr>
        <w:trPr/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lineRule="auto" w:line="360" w:before="0" w:after="0"/>
              <w:ind w:left="0" w:right="-54" w:firstLine="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4.</w:t>
            </w:r>
          </w:p>
        </w:tc>
        <w:tc>
          <w:tcPr>
            <w:tcW w:w="6655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Композиция листа, яркая декоративность</w:t>
            </w:r>
          </w:p>
        </w:tc>
        <w:tc>
          <w:tcPr>
            <w:tcW w:w="2261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10</w:t>
            </w:r>
          </w:p>
        </w:tc>
      </w:tr>
      <w:tr>
        <w:trPr/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lineRule="auto" w:line="360" w:before="0" w:after="0"/>
              <w:ind w:left="0" w:right="-54" w:firstLine="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5.</w:t>
            </w:r>
          </w:p>
        </w:tc>
        <w:tc>
          <w:tcPr>
            <w:tcW w:w="665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Качество исполнения и оформления работ</w:t>
            </w:r>
          </w:p>
        </w:tc>
        <w:tc>
          <w:tcPr>
            <w:tcW w:w="226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10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26. Члены жюри до итогового заседания заполняют оценочные листы на каждую работу, проставляя оценку по каждому критерию, выраженному в баллах от 0 до 10 и суммируя выставленные баллы.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27. Победители и призёры Конкурса в каждой соответствующей возрастной категории определяются из числа участников Конкурса, работы которых набрали максимальное количество баллов.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28. Результаты оценки конкурсных работ принимаются на очном заседании жюри простым большинством голосов от общего числа проголосовавших путем открытого голосования.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равенства голосов решающим является голос председателя жюри (в его отсутствие голос замещающего его лица).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29. Победители и призеры Конкурса в каждой возрастной группе награждаются дипломами и подарками. Руководители учреждений, чьи участники Конкурса были объявлены победителями и призерами, награждаются благодарностями.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30. Учреждения, указанные в</w:t>
      </w:r>
      <w:r>
        <w:rPr>
          <w:rFonts w:ascii="Times New Roman" w:hAnsi="Times New Roman"/>
          <w:sz w:val="26"/>
          <w:shd w:fill="auto" w:val="clear"/>
        </w:rPr>
        <w:t xml:space="preserve"> пунктах 2-3 </w:t>
      </w:r>
      <w:r>
        <w:rPr>
          <w:rFonts w:ascii="Times New Roman" w:hAnsi="Times New Roman"/>
          <w:sz w:val="26"/>
        </w:rPr>
        <w:t xml:space="preserve">Положения, вправе вручать дополнительные награды и (или) подарки участникам Конкурса, в том числе не занявшим призовые места. 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31. Награждение победителей и призеров Конкурса проводится в торжественной обстановке при участии членов жюри, а также других официальных лиц (по согласованию).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32. Конкурс завершается проведением выставки работ победителей и других лучших рисунков Конкурса путём размещения фотографий работ на официальном сайте исполнительных органов Камчатского края.</w:t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33. Работы победителей Конкурса направляются в электронном виде Министерством в организационный комитет Минтруда России для участия во Всероссийской выставке детского рисунка «Охрана труда глазами детей», при поступлении от Минтруда России соответствующего запроса.</w:t>
      </w:r>
    </w:p>
    <w:sectPr>
      <w:headerReference w:type="default" r:id="rId4"/>
      <w:type w:val="nextPage"/>
      <w:pgSz w:w="11906" w:h="16838"/>
      <w:pgMar w:left="1417" w:right="850" w:gutter="0" w:header="709" w:top="1134" w:footer="0" w:bottom="85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8.1pt;margin-top:0.05pt;width:5.6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9">
    <w:name w:val="Hyperlink"/>
    <w:basedOn w:val="DefaultParagraphFont"/>
    <w:rPr>
      <w:color w:val="0563C1" w:themeColor="hyperlink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Header">
    <w:name w:val="Header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Колонтитул"/>
    <w:qFormat/>
    <w:pPr>
      <w:widowControl/>
      <w:suppressAutoHyphens w:val="true"/>
      <w:bidi w:val="0"/>
      <w:spacing w:lineRule="auto" w:line="240" w:before="0" w:after="160"/>
      <w:ind w:left="0" w:right="0" w:hanging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6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Internetlink">
    <w:name w:val="Internet link"/>
    <w:basedOn w:val="DefaultParagraphFont1"/>
    <w:qFormat/>
    <w:pPr/>
    <w:rPr>
      <w:color w:val="0563C1" w:themeColor="hyperlink"/>
      <w:u w:val="single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8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left="0" w:right="0" w:hanging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9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left="0" w:right="0" w:hanging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20">
    <w:name w:val="Содержимое врезки"/>
    <w:basedOn w:val="Normal"/>
    <w:qFormat/>
    <w:pPr/>
    <w:rPr/>
  </w:style>
  <w:style w:type="table" w:styleId="Style_2">
    <w:name w:val="Table Grid"/>
    <w:basedOn w:val="Style_4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28">
    <w:name w:val="Сетка таблицы1"/>
    <w:basedOn w:val="Style_4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9">
    <w:name w:val="Сетка таблицы2"/>
    <w:basedOn w:val="Style_4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amgov.ru/agzanyat" TargetMode="External"/><Relationship Id="rId3" Type="http://schemas.openxmlformats.org/officeDocument/2006/relationships/hyperlink" Target="mailto:AgZanyat@kamgov.ru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LibreOffice/7.4.4.2$Linux_X86_64 LibreOffice_project/40$Build-2</Application>
  <AppVersion>15.0000</AppVersion>
  <Pages>4</Pages>
  <Words>1041</Words>
  <Characters>6920</Characters>
  <CharactersWithSpaces>7900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2025-01-30T17:33:38Z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