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DFC" w:rsidRPr="007E04F6" w:rsidRDefault="00756EA5" w:rsidP="007E04F6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Ответы</w:t>
      </w:r>
      <w:r w:rsidR="00FB7DFC">
        <w:rPr>
          <w:rFonts w:ascii="Times New Roman" w:hAnsi="Times New Roman" w:cs="Times New Roman"/>
          <w:sz w:val="28"/>
        </w:rPr>
        <w:t xml:space="preserve"> на вопросы граждан прямого эфира</w:t>
      </w:r>
      <w:r w:rsidR="007E04F6">
        <w:rPr>
          <w:rFonts w:ascii="Times New Roman" w:hAnsi="Times New Roman" w:cs="Times New Roman"/>
          <w:sz w:val="28"/>
        </w:rPr>
        <w:t>, прошедшего</w:t>
      </w:r>
      <w:r w:rsidR="00FB7DFC">
        <w:rPr>
          <w:rFonts w:ascii="Times New Roman" w:hAnsi="Times New Roman" w:cs="Times New Roman"/>
          <w:sz w:val="28"/>
        </w:rPr>
        <w:t xml:space="preserve"> </w:t>
      </w:r>
      <w:r w:rsidR="007E04F6">
        <w:rPr>
          <w:rFonts w:ascii="Times New Roman" w:hAnsi="Times New Roman" w:cs="Times New Roman"/>
          <w:sz w:val="28"/>
        </w:rPr>
        <w:t xml:space="preserve">22 марта под руководством </w:t>
      </w:r>
      <w:r w:rsidR="007E04F6" w:rsidRPr="007E04F6">
        <w:rPr>
          <w:rFonts w:ascii="Times New Roman" w:hAnsi="Times New Roman" w:cs="Times New Roman"/>
          <w:sz w:val="28"/>
        </w:rPr>
        <w:t>Заместител</w:t>
      </w:r>
      <w:r w:rsidR="004D39E7">
        <w:rPr>
          <w:rFonts w:ascii="Times New Roman" w:hAnsi="Times New Roman" w:cs="Times New Roman"/>
          <w:sz w:val="28"/>
        </w:rPr>
        <w:t>я</w:t>
      </w:r>
      <w:r w:rsidR="007E04F6" w:rsidRPr="007E04F6">
        <w:rPr>
          <w:rFonts w:ascii="Times New Roman" w:hAnsi="Times New Roman" w:cs="Times New Roman"/>
          <w:sz w:val="28"/>
        </w:rPr>
        <w:t xml:space="preserve"> Председателя</w:t>
      </w:r>
      <w:r w:rsidR="004D39E7">
        <w:rPr>
          <w:rFonts w:ascii="Times New Roman" w:hAnsi="Times New Roman" w:cs="Times New Roman"/>
          <w:sz w:val="28"/>
        </w:rPr>
        <w:t xml:space="preserve"> Правительства Камчатского края</w:t>
      </w:r>
      <w:r w:rsidR="000C454F">
        <w:rPr>
          <w:rFonts w:ascii="Times New Roman" w:hAnsi="Times New Roman" w:cs="Times New Roman"/>
          <w:sz w:val="28"/>
        </w:rPr>
        <w:t xml:space="preserve"> Виктори</w:t>
      </w:r>
      <w:r w:rsidR="007E04F6">
        <w:rPr>
          <w:rFonts w:ascii="Times New Roman" w:hAnsi="Times New Roman" w:cs="Times New Roman"/>
          <w:sz w:val="28"/>
        </w:rPr>
        <w:t>и</w:t>
      </w:r>
      <w:r w:rsidR="000C454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C454F">
        <w:rPr>
          <w:rFonts w:ascii="Times New Roman" w:hAnsi="Times New Roman" w:cs="Times New Roman"/>
          <w:sz w:val="28"/>
        </w:rPr>
        <w:t>Сивак</w:t>
      </w:r>
      <w:proofErr w:type="spellEnd"/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3681"/>
        <w:gridCol w:w="6775"/>
      </w:tblGrid>
      <w:tr w:rsidR="00756EA5" w:rsidTr="002B6C3B">
        <w:tc>
          <w:tcPr>
            <w:tcW w:w="1760" w:type="pct"/>
          </w:tcPr>
          <w:p w:rsidR="0006358A" w:rsidRDefault="0006358A" w:rsidP="0006358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Вопрос</w:t>
            </w:r>
          </w:p>
        </w:tc>
        <w:tc>
          <w:tcPr>
            <w:tcW w:w="3240" w:type="pct"/>
          </w:tcPr>
          <w:p w:rsidR="0006358A" w:rsidRDefault="0006358A" w:rsidP="0006358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</w:t>
            </w:r>
          </w:p>
        </w:tc>
      </w:tr>
      <w:tr w:rsidR="00756EA5" w:rsidTr="002B6C3B">
        <w:tc>
          <w:tcPr>
            <w:tcW w:w="1760" w:type="pct"/>
          </w:tcPr>
          <w:p w:rsidR="0006358A" w:rsidRDefault="0006358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B7DFC">
              <w:rPr>
                <w:rFonts w:ascii="Times New Roman" w:hAnsi="Times New Roman" w:cs="Times New Roman"/>
                <w:sz w:val="28"/>
                <w:szCs w:val="28"/>
              </w:rPr>
              <w:t>Есть ли на Камчатке организации, направляющие выпускников 11 классов на обучение, по каким специальностям и в какие ВУЗы?</w:t>
            </w:r>
          </w:p>
        </w:tc>
        <w:tc>
          <w:tcPr>
            <w:tcW w:w="3240" w:type="pct"/>
          </w:tcPr>
          <w:p w:rsidR="0006358A" w:rsidRDefault="0006358A" w:rsidP="0006358A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618">
              <w:rPr>
                <w:rFonts w:ascii="Times New Roman" w:hAnsi="Times New Roman" w:cs="Times New Roman"/>
                <w:sz w:val="28"/>
                <w:szCs w:val="28"/>
              </w:rPr>
              <w:t>Согласно ст. 56 Федерального закона от 29.12.2012 № 273-ФЗ «Об образовании в Российской Федерации» заказчиками целевого обучения могут выступать органы государственной власти субъекта РФ, органы местного самоуправления, юридические лица или индивидуальные предприниматели.</w:t>
            </w:r>
          </w:p>
          <w:p w:rsidR="0006358A" w:rsidRDefault="0006358A" w:rsidP="0006358A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самостоятельно определяет каких специалистов ему необходимо обучить. </w:t>
            </w:r>
          </w:p>
          <w:p w:rsidR="0006358A" w:rsidRDefault="0006358A" w:rsidP="0006358A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Ознакомиться с направлениями подготовки, по которым работодатель заявил потребность в целевом обучении можно на странице </w:t>
            </w:r>
            <w:r w:rsidRPr="005C785C"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5C">
              <w:rPr>
                <w:rFonts w:ascii="Times New Roman" w:hAnsi="Times New Roman" w:cs="Times New Roman"/>
                <w:sz w:val="28"/>
                <w:szCs w:val="28"/>
              </w:rPr>
              <w:t xml:space="preserve"> труда и развития кадрового потенциала Камчатского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</w:t>
            </w:r>
            <w:r w:rsidRPr="005C785C">
              <w:t xml:space="preserve"> </w:t>
            </w:r>
            <w:hyperlink r:id="rId4" w:history="1">
              <w:r w:rsidRPr="00FC4F7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https://agzanyat.kamgov.ru/organizacia-celevogo-obucenia-v-kamcatskom-krae</w:t>
              </w:r>
            </w:hyperlink>
          </w:p>
          <w:p w:rsidR="0006358A" w:rsidRPr="001D1622" w:rsidRDefault="0006358A" w:rsidP="0006358A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образовательной организации осуществляет гражданин, с которым заключается договор о целевом обучении. Это может быть несколько образовательных организаций, в каждой из которых проводится свой отдельный конкурс на право поступления в рамках целевой квоты. Победитель конкурса будет зачислен в образовательную организацию, на целевое место.</w:t>
            </w:r>
          </w:p>
          <w:p w:rsidR="0006358A" w:rsidRDefault="0006358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56EA5" w:rsidTr="002B6C3B">
        <w:tc>
          <w:tcPr>
            <w:tcW w:w="1760" w:type="pct"/>
          </w:tcPr>
          <w:p w:rsidR="0006358A" w:rsidRDefault="0006358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E2CF4">
              <w:rPr>
                <w:rFonts w:ascii="Times New Roman" w:hAnsi="Times New Roman" w:cs="Times New Roman"/>
                <w:sz w:val="28"/>
                <w:szCs w:val="28"/>
              </w:rPr>
              <w:t xml:space="preserve">Сколько лет отрабатывать после целевого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r w:rsidRPr="007E2C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240" w:type="pct"/>
          </w:tcPr>
          <w:p w:rsidR="0006358A" w:rsidRDefault="0006358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0F27">
              <w:rPr>
                <w:rFonts w:ascii="Times New Roman" w:hAnsi="Times New Roman" w:cs="Times New Roman"/>
                <w:sz w:val="28"/>
                <w:szCs w:val="28"/>
              </w:rPr>
              <w:t>е менее 3 лет (ч.2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РФ от 13.10.2020 № 1681)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6EA5" w:rsidTr="002B6C3B">
        <w:tc>
          <w:tcPr>
            <w:tcW w:w="1760" w:type="pct"/>
          </w:tcPr>
          <w:p w:rsidR="0006358A" w:rsidRDefault="0006358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Оплачивается ли</w:t>
            </w:r>
            <w:r w:rsidRPr="007E2CF4">
              <w:rPr>
                <w:rFonts w:ascii="Times New Roman" w:hAnsi="Times New Roman" w:cs="Times New Roman"/>
                <w:sz w:val="28"/>
                <w:szCs w:val="28"/>
              </w:rPr>
              <w:t xml:space="preserve"> проезд до ВУЗа и проживание?</w:t>
            </w:r>
          </w:p>
        </w:tc>
        <w:tc>
          <w:tcPr>
            <w:tcW w:w="3240" w:type="pct"/>
          </w:tcPr>
          <w:p w:rsidR="0006358A" w:rsidRDefault="0006358A" w:rsidP="0006358A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ED">
              <w:rPr>
                <w:rFonts w:ascii="Times New Roman" w:hAnsi="Times New Roman" w:cs="Times New Roman"/>
                <w:sz w:val="28"/>
                <w:szCs w:val="28"/>
              </w:rPr>
              <w:t>Компенсация оплаты проезда производится обучающимся по очной и заочной формам обучения в образовательных организациях, расположенных на территории Камчатского края, и за его пределами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1CED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Российской Федерации. </w:t>
            </w:r>
          </w:p>
          <w:p w:rsidR="0006358A" w:rsidRPr="0006358A" w:rsidRDefault="0006358A" w:rsidP="0006358A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CED">
              <w:rPr>
                <w:rFonts w:ascii="Times New Roman" w:hAnsi="Times New Roman" w:cs="Times New Roman"/>
                <w:sz w:val="28"/>
                <w:szCs w:val="28"/>
              </w:rPr>
              <w:t>Компенсация производится один раз в год обучающимся, не имеющим академической задолженности и не находящимся в академическом отпуске, проходящим обучение за пределами своего места жительства (места пребывания) на территории Камчатского края.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1CED">
              <w:rPr>
                <w:rFonts w:ascii="Times New Roman" w:hAnsi="Times New Roman" w:cs="Times New Roman"/>
                <w:sz w:val="28"/>
                <w:szCs w:val="28"/>
              </w:rPr>
              <w:t>Право на компенсацию оплаты проезда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1CE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1CED">
              <w:rPr>
                <w:rFonts w:ascii="Times New Roman" w:hAnsi="Times New Roman" w:cs="Times New Roman"/>
                <w:sz w:val="28"/>
                <w:szCs w:val="28"/>
              </w:rPr>
              <w:t>лиц, заключивших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1CED">
              <w:rPr>
                <w:rFonts w:ascii="Times New Roman" w:hAnsi="Times New Roman" w:cs="Times New Roman"/>
                <w:sz w:val="28"/>
                <w:szCs w:val="28"/>
              </w:rPr>
              <w:t>договор о целевом обучении и поступивших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1CED">
              <w:rPr>
                <w:rFonts w:ascii="Times New Roman" w:hAnsi="Times New Roman" w:cs="Times New Roman"/>
                <w:sz w:val="28"/>
                <w:szCs w:val="28"/>
              </w:rPr>
              <w:t>на обучение по образовательной программе среднего профессионального или высшего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1CED">
              <w:rPr>
                <w:rFonts w:ascii="Times New Roman" w:hAnsi="Times New Roman" w:cs="Times New Roman"/>
                <w:sz w:val="28"/>
                <w:szCs w:val="28"/>
              </w:rPr>
              <w:t>возникает не ранее окончания первого учебного года обучени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в образовательной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(постановление Правительства Камчатского края от 23.03.2021 № 101-П).</w:t>
            </w:r>
          </w:p>
        </w:tc>
      </w:tr>
      <w:tr w:rsidR="00756EA5" w:rsidTr="002B6C3B">
        <w:tc>
          <w:tcPr>
            <w:tcW w:w="1760" w:type="pct"/>
          </w:tcPr>
          <w:p w:rsidR="0006358A" w:rsidRDefault="0006358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Есть ли</w:t>
            </w:r>
            <w:r w:rsidRPr="007E2CF4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ограничения по возрасту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поступления на целевое</w:t>
            </w:r>
            <w:r w:rsidRPr="007E2C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240" w:type="pct"/>
          </w:tcPr>
          <w:p w:rsidR="0006358A" w:rsidRDefault="0006358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E2CF4">
              <w:rPr>
                <w:rFonts w:ascii="Times New Roman" w:hAnsi="Times New Roman" w:cs="Times New Roman"/>
                <w:sz w:val="28"/>
                <w:szCs w:val="28"/>
              </w:rPr>
              <w:t>Ограничения по возрасту не установлены.</w:t>
            </w:r>
          </w:p>
        </w:tc>
      </w:tr>
      <w:tr w:rsidR="00756EA5" w:rsidRPr="00F26063" w:rsidTr="002B6C3B">
        <w:tc>
          <w:tcPr>
            <w:tcW w:w="1760" w:type="pct"/>
          </w:tcPr>
          <w:p w:rsidR="0006358A" w:rsidRDefault="0006358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E2CF4">
              <w:rPr>
                <w:rFonts w:ascii="Times New Roman" w:hAnsi="Times New Roman" w:cs="Times New Roman"/>
                <w:sz w:val="28"/>
                <w:szCs w:val="28"/>
              </w:rPr>
              <w:t>Сайт для направления документов?</w:t>
            </w:r>
          </w:p>
        </w:tc>
        <w:tc>
          <w:tcPr>
            <w:tcW w:w="3240" w:type="pct"/>
          </w:tcPr>
          <w:p w:rsidR="0006358A" w:rsidRPr="0006358A" w:rsidRDefault="0006358A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7E2C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5" w:history="1">
              <w:r w:rsidRPr="0098170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obuchenie@kamgov.ru</w:t>
              </w:r>
            </w:hyperlink>
          </w:p>
        </w:tc>
      </w:tr>
      <w:tr w:rsidR="00756EA5" w:rsidRPr="0006358A" w:rsidTr="002B6C3B">
        <w:tc>
          <w:tcPr>
            <w:tcW w:w="1760" w:type="pct"/>
          </w:tcPr>
          <w:p w:rsidR="0006358A" w:rsidRPr="00F26063" w:rsidRDefault="0006358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E2CF4">
              <w:rPr>
                <w:rFonts w:ascii="Times New Roman" w:hAnsi="Times New Roman" w:cs="Times New Roman"/>
                <w:sz w:val="28"/>
                <w:szCs w:val="28"/>
              </w:rPr>
              <w:t>Дочь в следующем году выпускается из школы. Хочет выбрать профессию биофизика. Будет ли потребность в такой профессии на Камчатке?</w:t>
            </w:r>
          </w:p>
        </w:tc>
        <w:tc>
          <w:tcPr>
            <w:tcW w:w="3240" w:type="pct"/>
          </w:tcPr>
          <w:p w:rsidR="0006358A" w:rsidRPr="001D1622" w:rsidRDefault="0006358A" w:rsidP="0006358A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622">
              <w:rPr>
                <w:rFonts w:ascii="Times New Roman" w:hAnsi="Times New Roman" w:cs="Times New Roman"/>
                <w:sz w:val="28"/>
                <w:szCs w:val="28"/>
              </w:rPr>
              <w:t>На сегодняшний день работодателями не заявлена потребность в биофизиках. Есть еще один нюанс. В перечне направлений подготовки, по которым выделяется квота приема на целевое обучение (распоряжение Правительства РФ от 28.11.2020 № 3161-р), также отсутствует направление «биофизика». По этим основаниям Ваша дочь не может пройти целевую подготовку по выбранной профессии.</w:t>
            </w:r>
          </w:p>
          <w:p w:rsidR="0006358A" w:rsidRPr="001D1622" w:rsidRDefault="0006358A" w:rsidP="0006358A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622">
              <w:rPr>
                <w:rFonts w:ascii="Times New Roman" w:hAnsi="Times New Roman" w:cs="Times New Roman"/>
                <w:sz w:val="28"/>
                <w:szCs w:val="28"/>
              </w:rPr>
              <w:t>Каким образом можно решить данный вопрос?</w:t>
            </w:r>
          </w:p>
          <w:p w:rsidR="0006358A" w:rsidRPr="001D1622" w:rsidRDefault="0006358A" w:rsidP="0006358A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622">
              <w:rPr>
                <w:rFonts w:ascii="Times New Roman" w:hAnsi="Times New Roman" w:cs="Times New Roman"/>
                <w:sz w:val="28"/>
                <w:szCs w:val="28"/>
              </w:rPr>
              <w:t xml:space="preserve">В указанном перечне можно выбрать родственное или смежное направление подготовки. Затем обратиться в Министерство труда и развития кадрового потенциала Камчатского края, где будет проведена работа с работодателями по уточнению потребности в специалистах выбранной профессии на 2022 год. Если, по результатам такой работы, работодатели предоставят заявку на целевое обучение, то в установленном порядке возможно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будет </w:t>
            </w:r>
            <w:r w:rsidRPr="001D1622">
              <w:rPr>
                <w:rFonts w:ascii="Times New Roman" w:hAnsi="Times New Roman" w:cs="Times New Roman"/>
                <w:sz w:val="28"/>
                <w:szCs w:val="28"/>
              </w:rPr>
              <w:t>заключение договора о целевом обучении.</w:t>
            </w:r>
          </w:p>
          <w:p w:rsidR="0006358A" w:rsidRPr="00F26063" w:rsidRDefault="0006358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56EA5" w:rsidRPr="0006358A" w:rsidTr="002B6C3B">
        <w:tc>
          <w:tcPr>
            <w:tcW w:w="1760" w:type="pct"/>
          </w:tcPr>
          <w:p w:rsidR="0006358A" w:rsidRDefault="0006358A" w:rsidP="00756E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2CF4"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</w:t>
            </w:r>
            <w:r w:rsidRPr="007E2CF4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возможность в рамках целевого обучения поступить на психолога?</w:t>
            </w:r>
          </w:p>
          <w:p w:rsidR="0006358A" w:rsidRPr="0006358A" w:rsidRDefault="0006358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40" w:type="pct"/>
          </w:tcPr>
          <w:p w:rsidR="0006358A" w:rsidRDefault="0006358A" w:rsidP="0006358A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обучение организуется под заявки работодателей. На 2021 год от работодателей заявки на обучение психологов не поступали.</w:t>
            </w:r>
          </w:p>
          <w:p w:rsidR="0006358A" w:rsidRDefault="0006358A" w:rsidP="0006358A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заявленной работодателями потребностью (направлениями подготовки) на подготовку кадров </w:t>
            </w:r>
            <w:r w:rsidRPr="00BA4EF4">
              <w:rPr>
                <w:rFonts w:ascii="Times New Roman" w:hAnsi="Times New Roman" w:cs="Times New Roman"/>
                <w:sz w:val="28"/>
                <w:szCs w:val="28"/>
              </w:rPr>
              <w:t xml:space="preserve">можно ознакомиться на странице Министерства труда и развития кадрового потенциала Камчатского края по ссылке </w:t>
            </w:r>
            <w:hyperlink r:id="rId6" w:history="1">
              <w:r w:rsidRPr="00AF4C7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https://agzanyat.kamgov.ru/organizacia-celevogo-obucenia-v-kamcatskom-krae</w:t>
              </w:r>
            </w:hyperlink>
          </w:p>
          <w:p w:rsidR="0006358A" w:rsidRPr="0006358A" w:rsidRDefault="0006358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56EA5" w:rsidRPr="0006358A" w:rsidTr="002B6C3B">
        <w:tc>
          <w:tcPr>
            <w:tcW w:w="1760" w:type="pct"/>
          </w:tcPr>
          <w:p w:rsidR="0006358A" w:rsidRPr="0006358A" w:rsidRDefault="0006358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E2CF4">
              <w:rPr>
                <w:rFonts w:ascii="Times New Roman" w:hAnsi="Times New Roman" w:cs="Times New Roman"/>
                <w:sz w:val="28"/>
                <w:szCs w:val="28"/>
              </w:rPr>
              <w:t>Будут ли предусмотрены особые условия для ребенка из многодетной семьи при рассмотрении документов Комиссией?</w:t>
            </w:r>
          </w:p>
        </w:tc>
        <w:tc>
          <w:tcPr>
            <w:tcW w:w="3240" w:type="pct"/>
          </w:tcPr>
          <w:p w:rsidR="0006358A" w:rsidRDefault="0006358A" w:rsidP="0006358A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Единственными критериями отбора претендентов являются:</w:t>
            </w:r>
          </w:p>
          <w:p w:rsidR="0006358A" w:rsidRDefault="0006358A" w:rsidP="0006358A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28B">
              <w:rPr>
                <w:rFonts w:ascii="Times New Roman" w:hAnsi="Times New Roman" w:cs="Times New Roman"/>
                <w:sz w:val="28"/>
                <w:szCs w:val="28"/>
              </w:rPr>
              <w:t>1) средний балл документа государственного образца об основном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28B">
              <w:rPr>
                <w:rFonts w:ascii="Times New Roman" w:hAnsi="Times New Roman" w:cs="Times New Roman"/>
                <w:sz w:val="28"/>
                <w:szCs w:val="28"/>
              </w:rPr>
              <w:t>среднем общем образовании (для получения среднего профессионального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28B">
              <w:rPr>
                <w:rFonts w:ascii="Times New Roman" w:hAnsi="Times New Roman" w:cs="Times New Roman"/>
                <w:sz w:val="28"/>
                <w:szCs w:val="28"/>
              </w:rPr>
              <w:t>образования), среднем общем образовании или среднем профессиональном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28B">
              <w:rPr>
                <w:rFonts w:ascii="Times New Roman" w:hAnsi="Times New Roman" w:cs="Times New Roman"/>
                <w:sz w:val="28"/>
                <w:szCs w:val="28"/>
              </w:rPr>
              <w:t>образовании (для получения высшего образования) (для претендентов,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28B">
              <w:rPr>
                <w:rFonts w:ascii="Times New Roman" w:hAnsi="Times New Roman" w:cs="Times New Roman"/>
                <w:sz w:val="28"/>
                <w:szCs w:val="28"/>
              </w:rPr>
              <w:t>получивших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28B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28B">
              <w:rPr>
                <w:rFonts w:ascii="Times New Roman" w:hAnsi="Times New Roman" w:cs="Times New Roman"/>
                <w:sz w:val="28"/>
                <w:szCs w:val="28"/>
              </w:rPr>
              <w:t>соответствующего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28B">
              <w:rPr>
                <w:rFonts w:ascii="Times New Roman" w:hAnsi="Times New Roman" w:cs="Times New Roman"/>
                <w:sz w:val="28"/>
                <w:szCs w:val="28"/>
              </w:rPr>
              <w:t>уровня);</w:t>
            </w:r>
          </w:p>
          <w:p w:rsidR="0006358A" w:rsidRDefault="0006358A" w:rsidP="0006358A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 ср</w:t>
            </w:r>
            <w:r w:rsidRPr="006D628B">
              <w:rPr>
                <w:rFonts w:ascii="Times New Roman" w:hAnsi="Times New Roman" w:cs="Times New Roman"/>
                <w:sz w:val="28"/>
                <w:szCs w:val="28"/>
              </w:rPr>
              <w:t>едний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28B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28B">
              <w:rPr>
                <w:rFonts w:ascii="Times New Roman" w:hAnsi="Times New Roman" w:cs="Times New Roman"/>
                <w:sz w:val="28"/>
                <w:szCs w:val="28"/>
              </w:rPr>
              <w:t>справки(ведомости)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28B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28B">
              <w:rPr>
                <w:rFonts w:ascii="Times New Roman" w:hAnsi="Times New Roman" w:cs="Times New Roman"/>
                <w:sz w:val="28"/>
                <w:szCs w:val="28"/>
              </w:rPr>
              <w:t>успеваемости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28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28B">
              <w:rPr>
                <w:rFonts w:ascii="Times New Roman" w:hAnsi="Times New Roman" w:cs="Times New Roman"/>
                <w:sz w:val="28"/>
                <w:szCs w:val="28"/>
              </w:rPr>
              <w:t>первое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28B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28B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28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28B">
              <w:rPr>
                <w:rFonts w:ascii="Times New Roman" w:hAnsi="Times New Roman" w:cs="Times New Roman"/>
                <w:sz w:val="28"/>
                <w:szCs w:val="28"/>
              </w:rPr>
              <w:t>(для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28B">
              <w:rPr>
                <w:rFonts w:ascii="Times New Roman" w:hAnsi="Times New Roman" w:cs="Times New Roman"/>
                <w:sz w:val="28"/>
                <w:szCs w:val="28"/>
              </w:rPr>
              <w:t>претендентов,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28B">
              <w:rPr>
                <w:rFonts w:ascii="Times New Roman" w:hAnsi="Times New Roman" w:cs="Times New Roman"/>
                <w:sz w:val="28"/>
                <w:szCs w:val="28"/>
              </w:rPr>
              <w:t>получающих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28B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28B">
              <w:rPr>
                <w:rFonts w:ascii="Times New Roman" w:hAnsi="Times New Roman" w:cs="Times New Roman"/>
                <w:sz w:val="28"/>
                <w:szCs w:val="28"/>
              </w:rPr>
              <w:t>соответствующего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28B">
              <w:rPr>
                <w:rFonts w:ascii="Times New Roman" w:hAnsi="Times New Roman" w:cs="Times New Roman"/>
                <w:sz w:val="28"/>
                <w:szCs w:val="28"/>
              </w:rPr>
              <w:t>уровня).</w:t>
            </w:r>
          </w:p>
          <w:p w:rsidR="0006358A" w:rsidRDefault="0006358A" w:rsidP="0006358A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28B">
              <w:rPr>
                <w:rFonts w:ascii="Times New Roman" w:hAnsi="Times New Roman" w:cs="Times New Roman"/>
                <w:sz w:val="28"/>
                <w:szCs w:val="28"/>
              </w:rPr>
              <w:t>Гражданином, прошедшим отбор, является претендент, имеющий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28B">
              <w:rPr>
                <w:rFonts w:ascii="Times New Roman" w:hAnsi="Times New Roman" w:cs="Times New Roman"/>
                <w:sz w:val="28"/>
                <w:szCs w:val="28"/>
              </w:rPr>
              <w:t>наиболее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28B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28B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28B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358A" w:rsidRDefault="0006358A" w:rsidP="0006358A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Льготные условия для заключения договора о целевом обучении отсутствуют.</w:t>
            </w:r>
          </w:p>
          <w:p w:rsidR="0006358A" w:rsidRPr="0006358A" w:rsidRDefault="0006358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56EA5" w:rsidRPr="0006358A" w:rsidTr="002B6C3B">
        <w:tc>
          <w:tcPr>
            <w:tcW w:w="1760" w:type="pct"/>
          </w:tcPr>
          <w:p w:rsidR="0006358A" w:rsidRPr="0006358A" w:rsidRDefault="0006358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E2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Если во время прохождения медкомиссии профессия оказалась недоступна, можно будет выбрать другую профессию по целевому обучению?</w:t>
            </w:r>
          </w:p>
        </w:tc>
        <w:tc>
          <w:tcPr>
            <w:tcW w:w="3240" w:type="pct"/>
          </w:tcPr>
          <w:p w:rsidR="0006358A" w:rsidRPr="0006358A" w:rsidRDefault="0006358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Подать документы для участия в отборе на право заключения договора о целевом обучении разрешено только по одному выбранному уровню профессионального образования и направлению подготовку (профессии/ специальности) в срок до 20 апреля. С претендентами, прошедшими соответствующий отбор, заключаются договоры о целевом обучении в срок до 25 мая. Конкурсный отбор претендентов на целевое обучение осуществляется 1 раз в год.</w:t>
            </w:r>
          </w:p>
        </w:tc>
      </w:tr>
      <w:tr w:rsidR="00756EA5" w:rsidRPr="0006358A" w:rsidTr="002B6C3B">
        <w:tc>
          <w:tcPr>
            <w:tcW w:w="1760" w:type="pct"/>
          </w:tcPr>
          <w:p w:rsidR="0006358A" w:rsidRPr="0006358A" w:rsidRDefault="0006358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46249">
              <w:rPr>
                <w:rFonts w:ascii="Times New Roman" w:hAnsi="Times New Roman" w:cs="Times New Roman"/>
                <w:sz w:val="28"/>
                <w:szCs w:val="28"/>
              </w:rPr>
              <w:t>Будет ли сохранен эфир?</w:t>
            </w:r>
          </w:p>
        </w:tc>
        <w:tc>
          <w:tcPr>
            <w:tcW w:w="3240" w:type="pct"/>
          </w:tcPr>
          <w:p w:rsidR="0006358A" w:rsidRPr="0006358A" w:rsidRDefault="0006358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Прямой эфир</w:t>
            </w:r>
            <w:r w:rsidRPr="00EA2149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 по ссылке: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hyperlink r:id="rId7" w:history="1">
              <w:r w:rsidRPr="00FD36C6">
                <w:rPr>
                  <w:rStyle w:val="a3"/>
                  <w:rFonts w:ascii="Times New Roman" w:hAnsi="Times New Roman" w:cs="Times New Roman"/>
                  <w:sz w:val="28"/>
                </w:rPr>
                <w:t>https://www.instagram.com/tv/CMvkjgqhkL8/?utm_source=ig_web_copy_link</w:t>
              </w:r>
            </w:hyperlink>
          </w:p>
        </w:tc>
      </w:tr>
    </w:tbl>
    <w:p w:rsidR="00EC7423" w:rsidRPr="00FB7DFC" w:rsidRDefault="00EC7423" w:rsidP="00FE79B1">
      <w:pPr>
        <w:rPr>
          <w:rFonts w:ascii="Times New Roman" w:hAnsi="Times New Roman" w:cs="Times New Roman"/>
          <w:sz w:val="28"/>
        </w:rPr>
      </w:pPr>
    </w:p>
    <w:sectPr w:rsidR="00EC7423" w:rsidRPr="00FB7DFC" w:rsidSect="00FB7D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92"/>
    <w:rsid w:val="0006358A"/>
    <w:rsid w:val="00070A98"/>
    <w:rsid w:val="000B29F0"/>
    <w:rsid w:val="000C454F"/>
    <w:rsid w:val="001B7484"/>
    <w:rsid w:val="002335EA"/>
    <w:rsid w:val="002B6C3B"/>
    <w:rsid w:val="002E2442"/>
    <w:rsid w:val="00306671"/>
    <w:rsid w:val="00473B2D"/>
    <w:rsid w:val="00493931"/>
    <w:rsid w:val="004C6092"/>
    <w:rsid w:val="004D39E7"/>
    <w:rsid w:val="00697EC8"/>
    <w:rsid w:val="00713218"/>
    <w:rsid w:val="00746249"/>
    <w:rsid w:val="00756EA5"/>
    <w:rsid w:val="007E04F6"/>
    <w:rsid w:val="007E2CF4"/>
    <w:rsid w:val="00976E60"/>
    <w:rsid w:val="009804F0"/>
    <w:rsid w:val="00BB2952"/>
    <w:rsid w:val="00DB7946"/>
    <w:rsid w:val="00DD326C"/>
    <w:rsid w:val="00E00185"/>
    <w:rsid w:val="00EC7423"/>
    <w:rsid w:val="00F26063"/>
    <w:rsid w:val="00F74221"/>
    <w:rsid w:val="00FB7DFC"/>
    <w:rsid w:val="00FD36C6"/>
    <w:rsid w:val="00F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49D08-28F3-411F-BE47-1C1BD967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DF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B2952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6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624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6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tv/CMvkjgqhkL8/?utm_source=ig_web_copy_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gzanyat.kamgov.ru/organizacia-celevogo-obucenia-v-kamcatskom-krae" TargetMode="External"/><Relationship Id="rId5" Type="http://schemas.openxmlformats.org/officeDocument/2006/relationships/hyperlink" Target="mailto:obuchenie@kamgov.ru" TargetMode="External"/><Relationship Id="rId4" Type="http://schemas.openxmlformats.org/officeDocument/2006/relationships/hyperlink" Target="https://agzanyat.kamgov.ru/organizacia-celevogo-obucenia-v-kamcatskom-kra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Трудовишникова Дарья Алексеевн</dc:creator>
  <cp:keywords/>
  <dc:description/>
  <cp:lastModifiedBy>Скуратович Алексей Сергеевич</cp:lastModifiedBy>
  <cp:revision>27</cp:revision>
  <cp:lastPrinted>2021-04-06T23:56:00Z</cp:lastPrinted>
  <dcterms:created xsi:type="dcterms:W3CDTF">2021-04-06T21:03:00Z</dcterms:created>
  <dcterms:modified xsi:type="dcterms:W3CDTF">2021-04-07T03:22:00Z</dcterms:modified>
</cp:coreProperties>
</file>