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>, 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>, 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>, 29.01.2019 № 37-П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и молодежной политики Камчатского края;</w:t>
            </w:r>
          </w:p>
          <w:p w:rsidR="00203CA5" w:rsidRPr="00203CA5" w:rsidRDefault="00F91C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</w:t>
            </w:r>
            <w:r w:rsidR="00E83434">
              <w:rPr>
                <w:szCs w:val="22"/>
              </w:rPr>
              <w:t>вития и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1)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2)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3)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4)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>
              <w:rPr>
                <w:rFonts w:asciiTheme="minorHAnsi" w:hAnsiTheme="minorHAnsi" w:cstheme="minorHAnsi"/>
                <w:szCs w:val="22"/>
              </w:rPr>
              <w:t>П</w:t>
            </w:r>
            <w:r w:rsidRPr="00203CA5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5)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203CA5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203CA5">
              <w:rPr>
                <w:rFonts w:asciiTheme="minorHAnsi" w:hAnsiTheme="minorHAnsi" w:cstheme="minorHAnsi"/>
                <w:szCs w:val="22"/>
              </w:rPr>
              <w:t xml:space="preserve"> "Дополнительные мероприятия в сфере занятости населения, направленные на снижение напряженности на рынке труда Камчатского края, на 2016 год";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 w:rsidR="004601F4"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 w:rsidR="004601F4"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  <w:r w:rsidR="00C458D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Default="00F91CF4" w:rsidP="004601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7) подпрограмма 7 "Комплексная ресоциализация граждан, уволенных с военной службы, и обеспечение их социальной интеграции в общество в Камчатском крае</w:t>
            </w:r>
            <w:r w:rsidR="00C458D4">
              <w:rPr>
                <w:szCs w:val="22"/>
              </w:rPr>
              <w:t>»;</w:t>
            </w:r>
          </w:p>
          <w:p w:rsidR="00740DF4" w:rsidRDefault="00740DF4" w:rsidP="00C458D4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C458D4">
              <w:rPr>
                <w:szCs w:val="22"/>
              </w:rPr>
              <w:t>8) подпрограмма 8 "</w:t>
            </w:r>
            <w:r w:rsidR="00C458D4" w:rsidRPr="00C458D4">
              <w:rPr>
                <w:rFonts w:eastAsia="Calibr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</w:t>
            </w:r>
            <w:r w:rsidR="00C458D4">
              <w:rPr>
                <w:rFonts w:eastAsia="Calibri"/>
                <w:szCs w:val="22"/>
                <w:lang w:eastAsia="en-US"/>
              </w:rPr>
              <w:t>";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szCs w:val="22"/>
              </w:rPr>
            </w:pPr>
            <w:r w:rsidRPr="00C458D4">
              <w:rPr>
                <w:rFonts w:eastAsia="Calibri"/>
                <w:szCs w:val="22"/>
                <w:lang w:eastAsia="en-US"/>
              </w:rPr>
              <w:t>9) п</w:t>
            </w:r>
            <w:r w:rsidRPr="00C458D4">
              <w:rPr>
                <w:szCs w:val="22"/>
              </w:rPr>
              <w:t>одпрограмма 9 "</w:t>
            </w:r>
            <w:r w:rsidRPr="00C458D4">
              <w:rPr>
                <w:rFonts w:eastAsia="Calibri"/>
                <w:szCs w:val="22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C458D4">
              <w:rPr>
                <w:szCs w:val="22"/>
              </w:rPr>
              <w:t>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</w:t>
            </w:r>
          </w:p>
          <w:p w:rsidR="00740DF4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458D4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4) </w:t>
            </w:r>
            <w:r w:rsidRPr="00C458D4">
              <w:rPr>
                <w:rFonts w:asciiTheme="minorHAnsi" w:hAnsiTheme="minorHAnsi" w:cstheme="minorHAnsi"/>
                <w:szCs w:val="22"/>
              </w:rPr>
              <w:t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>повышение конкурентоспособности на рынке труда граждан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уровень регистрируемой безработицы;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 xml:space="preserve">5) численность </w:t>
            </w:r>
            <w:r w:rsidRPr="00E83434">
              <w:rPr>
                <w:iCs/>
                <w:szCs w:val="22"/>
              </w:rPr>
              <w:t xml:space="preserve">граждан, уволенных с </w:t>
            </w:r>
            <w:r w:rsidRPr="00E83434">
              <w:rPr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6) численность граждан</w:t>
            </w:r>
            <w:r w:rsidRPr="00E83434">
              <w:rPr>
                <w:iCs/>
                <w:szCs w:val="22"/>
              </w:rPr>
              <w:t xml:space="preserve">, уволенных с </w:t>
            </w:r>
            <w:r w:rsidRPr="00E83434">
              <w:rPr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 xml:space="preserve">7) численность граждан, </w:t>
            </w:r>
            <w:r w:rsidRPr="00E83434">
              <w:rPr>
                <w:iCs/>
                <w:szCs w:val="22"/>
              </w:rPr>
              <w:t xml:space="preserve">уволенных с </w:t>
            </w:r>
            <w:r w:rsidRPr="00E83434">
              <w:rPr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8) численность </w:t>
            </w:r>
            <w:r w:rsidRPr="00E83434">
              <w:rPr>
                <w:rFonts w:ascii="Calibri" w:hAnsi="Calibri" w:cs="Calibri"/>
                <w:iCs/>
                <w:sz w:val="22"/>
                <w:szCs w:val="22"/>
              </w:rPr>
              <w:t>инвалидов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E83434" w:rsidRDefault="00E83434" w:rsidP="00E83434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10)  численность граждан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6 245 590,25759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1 440 848,25000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128 172,20000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2019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233 224,30000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2020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236 535,70000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237 016,40000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планируемый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объем обязательств – 41 908,80000 тыс. рублей, из них по годам: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2014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2015 год – 6 750,00000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2016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2017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 год – 0,00000 тыс. рублей;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2019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2020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2021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2022 год – 11 719,60000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краевого бюджета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4 746 885,71170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418 152,61100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2019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388 981,15000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2020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376 866,13000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376 276,10000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2022 год – 415 256,74620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2023 год – 431 881,41240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2024 год – 449 171,10480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2025 год – 467 152,33530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краевого бюджета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планируемый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объем обязательств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3 700,80000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2014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2015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2016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2017 год – 0,00000 тыс. рублей;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 год – 0,00000 тыс. рублей;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2019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2020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2022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2023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2024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616,80000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2025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0,00000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12 246,69589 тыс. рублей, из них по годам: 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2014 год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2015 год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3 000,00000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2016 год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1 875,00000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2017 год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6 716,70000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2018 год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 654,99589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 xml:space="preserve">2019 год </w:t>
            </w:r>
            <w:r w:rsidRPr="00E83434">
              <w:rPr>
                <w:color w:val="000000"/>
                <w:szCs w:val="22"/>
              </w:rPr>
              <w:t>–</w:t>
            </w:r>
            <w:r w:rsidRPr="00E83434">
              <w:rPr>
                <w:szCs w:val="22"/>
              </w:rPr>
              <w:t xml:space="preserve">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color w:val="000000"/>
                <w:szCs w:val="22"/>
              </w:rPr>
            </w:pPr>
            <w:r w:rsidRPr="00E83434">
              <w:rPr>
                <w:color w:val="000000"/>
                <w:szCs w:val="22"/>
              </w:rPr>
              <w:t>2020 год –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color w:val="000000"/>
                <w:szCs w:val="22"/>
              </w:rPr>
            </w:pPr>
            <w:r w:rsidRPr="00E83434">
              <w:rPr>
                <w:color w:val="000000"/>
                <w:szCs w:val="22"/>
              </w:rPr>
              <w:t>2021 год –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color w:val="000000"/>
                <w:szCs w:val="22"/>
              </w:rPr>
            </w:pPr>
            <w:r w:rsidRPr="00E83434">
              <w:rPr>
                <w:color w:val="000000"/>
                <w:szCs w:val="22"/>
              </w:rPr>
              <w:t>2022 год –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color w:val="000000"/>
                <w:szCs w:val="22"/>
              </w:rPr>
            </w:pPr>
            <w:r w:rsidRPr="00E83434">
              <w:rPr>
                <w:color w:val="000000"/>
                <w:szCs w:val="22"/>
              </w:rPr>
              <w:t>2023 год – 0,00000 тыс. рублей;</w:t>
            </w:r>
          </w:p>
          <w:p w:rsidR="00E83434" w:rsidRPr="00E83434" w:rsidRDefault="00E83434" w:rsidP="00E83434">
            <w:pPr>
              <w:pStyle w:val="ConsPlusNormal"/>
              <w:rPr>
                <w:color w:val="000000"/>
                <w:szCs w:val="22"/>
              </w:rPr>
            </w:pPr>
            <w:r w:rsidRPr="00E83434">
              <w:rPr>
                <w:color w:val="000000"/>
                <w:szCs w:val="22"/>
              </w:rPr>
              <w:t>2024 год – 0,00000 тыс. рублей;</w:t>
            </w:r>
          </w:p>
          <w:p w:rsidR="00203CA5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прохождение профессионального обучения и дополнительного профессионального образования ежегодно не менее 139 гражданами предпенсионного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1" w:name="P406"/>
      <w:bookmarkEnd w:id="1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Ответственный исполнитель </w:t>
            </w: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 xml:space="preserve">Агентство по занятости населения и миграционной политике </w:t>
            </w: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Участники Подпрограммы 1</w:t>
            </w:r>
          </w:p>
        </w:tc>
        <w:tc>
          <w:tcPr>
            <w:tcW w:w="6379" w:type="dxa"/>
          </w:tcPr>
          <w:p w:rsidR="001050D6" w:rsidRPr="00AF7A8B" w:rsidRDefault="00AF7A8B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F7A8B">
              <w:rPr>
                <w:rFonts w:asciiTheme="minorHAnsi" w:hAnsiTheme="minorHAnsi" w:cstheme="minorHAnsi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543477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2) о</w:t>
            </w:r>
            <w:r w:rsidRPr="00543477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543477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543477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83390A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объем бюджетных ассигнований на реализацию Подпрограммы 1 составляет 5 322 683,29105 тыс. рублей, в том числе за счет средств: 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1 299 605,40000 тыс. рублей, из них по годам: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2014 год – 186 959,80000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2015 год – 128 812,20000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2016 год – 133 077,10000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2017 год – 125 394,40000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2018 год – 110 174,30000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2019 год – 202 694,70000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2020 год – 206 006,10000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год – 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206 486,80000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2025 год – 0,00000 тыс. рублей</w:t>
            </w:r>
            <w:r w:rsidRPr="00E83434">
              <w:rPr>
                <w:rFonts w:ascii="Calibri" w:hAnsi="Calibri" w:cs="Calibri"/>
                <w:sz w:val="22"/>
                <w:szCs w:val="22"/>
              </w:rPr>
              <w:t xml:space="preserve">; 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краевого бюджета – 4 023 077,89105 тыс. рублей, из них по годам: 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2014 год – 286 397,79600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2015 год – 300 802,54600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2016 год – 308 966,48785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2017 год – 318 948,35700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2018 год – 361 422,18850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2019 год – 329 266,78000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2020 год – 316 951,06000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2021 год – 316 403,29000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2022 год – 349 427,33920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2023 год – 363 418,83040 тыс. рублей;</w:t>
            </w:r>
          </w:p>
          <w:p w:rsidR="00E83434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2024 год – 377 970,01480 тыс. рублей;</w:t>
            </w:r>
          </w:p>
          <w:p w:rsidR="001050D6" w:rsidRPr="00E83434" w:rsidRDefault="00E83434" w:rsidP="00E83434">
            <w:pPr>
              <w:pStyle w:val="ConsPlusNormal"/>
              <w:rPr>
                <w:szCs w:val="22"/>
              </w:rPr>
            </w:pPr>
            <w:r w:rsidRPr="00E83434">
              <w:rPr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оборудование (оснащение) в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годах не менее </w:t>
            </w:r>
            <w:r w:rsidR="00204142">
              <w:rPr>
                <w:rFonts w:asciiTheme="minorHAnsi" w:hAnsiTheme="minorHAnsi" w:cstheme="minorHAnsi"/>
                <w:szCs w:val="22"/>
              </w:rPr>
              <w:t>127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5) развитие трудовой мобильности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674"/>
      <w:bookmarkEnd w:id="2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 xml:space="preserve">Ответственный исполнитель </w:t>
            </w: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 xml:space="preserve">Агентство по занятости населения и миграционной политике </w:t>
            </w: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2 039,31300 тыс. рублей, из них по годам: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2014 год – 238,80000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2015 год – 240,00000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2016 год – 176,00000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2017 год – 139,10000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2018 год – 99,00000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2019 год –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2020 год –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 xml:space="preserve">2021 год – </w:t>
            </w:r>
            <w:r w:rsidRPr="00E83434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E83434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2022 год – 269,96700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2023 год – 280,76600 тыс. рублей;</w:t>
            </w:r>
          </w:p>
          <w:p w:rsidR="00E83434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2024 год – 292,00000 тыс. рублей;</w:t>
            </w:r>
          </w:p>
          <w:p w:rsidR="002016FA" w:rsidRPr="00E83434" w:rsidRDefault="00E83434" w:rsidP="00E83434">
            <w:pPr>
              <w:rPr>
                <w:rFonts w:ascii="Calibri" w:hAnsi="Calibri" w:cs="Calibri"/>
                <w:sz w:val="22"/>
                <w:szCs w:val="22"/>
              </w:rPr>
            </w:pPr>
            <w:r w:rsidRPr="00E83434">
              <w:rPr>
                <w:rFonts w:ascii="Calibri" w:hAnsi="Calibri" w:cs="Calibri"/>
                <w:sz w:val="22"/>
                <w:szCs w:val="22"/>
              </w:rPr>
              <w:t>2025 год – 303,68000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3" w:name="P978"/>
      <w:bookmarkEnd w:id="3"/>
      <w:r>
        <w:lastRenderedPageBreak/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lastRenderedPageBreak/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улучшение демографической ситуации за счет привлечения соотечественников на постоянное место жительства на </w:t>
            </w:r>
            <w:r>
              <w:lastRenderedPageBreak/>
              <w:t>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lastRenderedPageBreak/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4" w:name="P2843"/>
      <w:bookmarkEnd w:id="4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4 за счет средств краевого бюджета составляет 686 933,62415 тыс. рублей, из них по годам: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2014 год – 53 945,53200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2015 год – 47 004,43200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2016 год – 43 417,99215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2017 год – 47 002,65300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2018 год – 53 770,64000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2019 год – 57 747,37000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2020 год – 57 773,57000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2021 год – 57 800,86000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2022 год – 63 222,14800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2023 год – 65 751,03400 тыс. рублей;</w:t>
            </w:r>
          </w:p>
          <w:p w:rsidR="00E83434" w:rsidRPr="00E83434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2024 год – 68 381,07500 тыс. рублей;</w:t>
            </w:r>
          </w:p>
          <w:p w:rsidR="00B34508" w:rsidRPr="00E83434" w:rsidRDefault="00E83434" w:rsidP="00E8343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914"/>
      <w:bookmarkEnd w:id="5"/>
      <w:r w:rsidRPr="00B34508">
        <w:rPr>
          <w:rFonts w:asciiTheme="minorHAnsi" w:hAnsiTheme="minorHAnsi" w:cstheme="minorHAnsi"/>
          <w:szCs w:val="22"/>
        </w:rPr>
        <w:t>Паспорт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подпрограммы 5 "Дополнительные мероприятия в сфере занятости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населения, направленные на снижение напряженности на рынке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>труда Камчатского края, на 2016 год"</w:t>
      </w:r>
    </w:p>
    <w:p w:rsidR="00B97093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lastRenderedPageBreak/>
        <w:t>(далее – Подпрограмма 5)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снижение напряженности на рынке </w:t>
            </w:r>
            <w:proofErr w:type="gramStart"/>
            <w:r w:rsidRPr="00B34508">
              <w:rPr>
                <w:rFonts w:asciiTheme="minorHAnsi" w:hAnsiTheme="minorHAnsi" w:cstheme="minorHAnsi"/>
                <w:szCs w:val="22"/>
              </w:rPr>
              <w:t>труда Камчатского края</w:t>
            </w:r>
            <w:proofErr w:type="gramEnd"/>
            <w:r w:rsidRPr="00B34508">
              <w:rPr>
                <w:rFonts w:asciiTheme="minorHAnsi" w:hAnsiTheme="minorHAnsi" w:cstheme="minorHAnsi"/>
                <w:szCs w:val="22"/>
              </w:rPr>
              <w:t xml:space="preserve"> и поддержка эффективной занятости населения</w:t>
            </w:r>
          </w:p>
        </w:tc>
      </w:tr>
      <w:tr w:rsidR="00B34508" w:rsidRPr="00744A7A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принятие превентивных мер по снижению негативных социально-экономических последствий увольнения работников из организаций в связи с ликвидацией либо сокращением численности или штата работников, предупреждение роста безработицы в Камчатском крае, обеспечение работой незащищенных категорий граждан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 уровень регистрируемой безработицы не выше 1,9% от численности экономически активного населения на конец 2016 года;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коэффициент напряженности на рынке труда не выше 1,2;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3) численность работников, находящихся под риском увольнения, направленных на опережающее профессиональное обучение, не менее 10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4) 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работу, не менее 20 человек;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5) численность граждан из числа инвалидов, при трудоустройстве которых работодателям возмещаются затраты на наставничество, не менее 3 человек</w:t>
            </w:r>
          </w:p>
        </w:tc>
      </w:tr>
      <w:tr w:rsidR="00B34508" w:rsidRPr="00944164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Подпрограмма 5 реализуется в 2016 году</w:t>
            </w:r>
          </w:p>
        </w:tc>
      </w:tr>
      <w:tr w:rsidR="00B34508" w:rsidRPr="00944164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RPr="00944164" w:rsidTr="00426E46">
        <w:trPr>
          <w:trHeight w:val="601"/>
        </w:trPr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5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численность граждан, принявших участие в Подпрограмме 5, - не менее 33 человек, в том числе: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- 10 работников, находящихся под риском увольнения, направленных на опережающее профессиональное обучение;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- 20 выпускников профессиональных образовательных организаций, за трудоустройство которых возмещаются расходы работодателям на частичную оплату труда: в течение срока, не превышающего 6 месяцев, - при условии принятия на постоянную работу и в течение срока, не превышающего 3 месяцев, - при условии принятия на временную работу;</w:t>
            </w:r>
          </w:p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- 3 гражданина из числа инвалидов, при трудоустройстве которых работодателям возмещаются затраты на наставничество</w:t>
            </w:r>
          </w:p>
        </w:tc>
      </w:tr>
    </w:tbl>
    <w:p w:rsidR="00933229" w:rsidRDefault="00933229">
      <w:pPr>
        <w:pStyle w:val="ConsPlusNormal"/>
        <w:jc w:val="center"/>
      </w:pPr>
      <w:bookmarkStart w:id="6" w:name="P3300"/>
      <w:bookmarkEnd w:id="6"/>
    </w:p>
    <w:p w:rsidR="00933229" w:rsidRDefault="00933229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lastRenderedPageBreak/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с 2018 года - 75 чел.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416451">
              <w:rPr>
                <w:rFonts w:asciiTheme="minorHAnsi" w:hAnsiTheme="minorHAnsi" w:cstheme="minorHAnsi"/>
                <w:sz w:val="22"/>
                <w:szCs w:val="22"/>
              </w:rPr>
              <w:t>129 282,03389</w:t>
            </w: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416451">
              <w:rPr>
                <w:rFonts w:asciiTheme="minorHAnsi" w:hAnsiTheme="minorHAnsi" w:cstheme="minorHAnsi"/>
                <w:sz w:val="22"/>
                <w:szCs w:val="22"/>
              </w:rPr>
              <w:t xml:space="preserve">98 914,15000 </w:t>
            </w: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18 810,00000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6 750,00000 тыс. рублей, из них по годам: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11 371,18800 тыс. рублей, из них по годам:     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990,00000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921,98600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958,86500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E83434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E83434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E83434" w:rsidRPr="00416451" w:rsidRDefault="00E83434" w:rsidP="00E8343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2024 год – 0,00000 тыс. рублей;</w:t>
            </w:r>
          </w:p>
          <w:p w:rsidR="00B34508" w:rsidRPr="00416451" w:rsidRDefault="00E83434" w:rsidP="00E83434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416451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8475B0">
              <w:rPr>
                <w:rFonts w:asciiTheme="minorHAnsi" w:hAnsiTheme="minorHAnsi" w:cstheme="minorHAnsi"/>
                <w:szCs w:val="22"/>
              </w:rPr>
              <w:t>753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"Геотехнология".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1.1.6. Среднемесячная номинальная начисленная заработная плата одного работника, по оперативным данным </w:t>
      </w:r>
      <w:proofErr w:type="gramStart"/>
      <w:r w:rsidRPr="00426E46">
        <w:rPr>
          <w:rFonts w:asciiTheme="minorHAnsi" w:hAnsiTheme="minorHAnsi" w:cstheme="minorHAnsi"/>
          <w:szCs w:val="22"/>
        </w:rPr>
        <w:t>Камчатстата,  за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lastRenderedPageBreak/>
        <w:t xml:space="preserve">1.1.7. Величина прожиточного минимума, сложившаяся в Камчатском крае за 3 квартал 2016 </w:t>
      </w:r>
      <w:proofErr w:type="gramStart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года  в</w:t>
      </w:r>
      <w:proofErr w:type="gramEnd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создания инфраструктуры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t>За десять месяцев 2016 года отмечена убыль населения (-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1013  человек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lastRenderedPageBreak/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17,4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%;  "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технология продовольственных продуктов и потребительских товаров" – 10,8%, "металлургия, машиностроение и материалообработка"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предпенсионном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1.4. В строительном комплексе региона в последние годы наметились позитивные процессы в </w:t>
      </w:r>
      <w:r w:rsidRPr="00426E46">
        <w:rPr>
          <w:rFonts w:asciiTheme="minorHAnsi" w:hAnsiTheme="minorHAnsi" w:cstheme="minorHAnsi"/>
          <w:szCs w:val="22"/>
        </w:rPr>
        <w:lastRenderedPageBreak/>
        <w:t>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>Годовой объем ввода жилья, соответствующего стандартам экономкласса,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г.г.)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lastRenderedPageBreak/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FC52E5" w:rsidP="00FC52E5">
      <w:pPr>
        <w:pStyle w:val="ConsPlusNormal"/>
        <w:ind w:firstLine="540"/>
        <w:jc w:val="both"/>
      </w:pPr>
      <w:r w:rsidRPr="00FC52E5">
        <w:rPr>
          <w:szCs w:val="22"/>
        </w:rPr>
        <w:t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инвестиционных проектов, включенных в Подпрограмму</w:t>
      </w:r>
    </w:p>
    <w:p w:rsidR="00B97093" w:rsidRDefault="00B97093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</w:t>
            </w:r>
            <w:proofErr w:type="gramStart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 работодателей</w:t>
            </w:r>
            <w:proofErr w:type="gramEnd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2 392,81000*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125,94000*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385,94000*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20,31000*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977"/>
        <w:gridCol w:w="2410"/>
        <w:gridCol w:w="1984"/>
        <w:gridCol w:w="3261"/>
      </w:tblGrid>
      <w:tr w:rsidR="00AA4718" w:rsidRPr="00AA4718" w:rsidTr="00AA4718">
        <w:trPr>
          <w:trHeight w:val="341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AA4718" w:rsidRPr="00AA4718" w:rsidTr="00AA4718">
        <w:trPr>
          <w:trHeight w:val="341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AA4718" w:rsidRPr="00AA4718" w:rsidTr="00AA4718">
        <w:trPr>
          <w:trHeight w:val="213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AA4718" w:rsidRPr="00AA4718" w:rsidTr="00AA4718">
        <w:trPr>
          <w:trHeight w:val="289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7481,25000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AA4718" w:rsidRPr="00AA4718" w:rsidTr="00AA4718">
        <w:trPr>
          <w:trHeight w:val="223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2137,50000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A4718" w:rsidRPr="00AA4718" w:rsidTr="00AA4718">
        <w:trPr>
          <w:trHeight w:val="341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"АПК "Корякский"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A4718" w:rsidRPr="00AA4718" w:rsidTr="00AA4718">
        <w:trPr>
          <w:trHeight w:val="233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УМП ОПХ "Заречное"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A4718" w:rsidRPr="00AA4718" w:rsidTr="00AA4718">
        <w:trPr>
          <w:trHeight w:val="291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56,25000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A4718" w:rsidRPr="00AA4718" w:rsidTr="00AA4718">
        <w:trPr>
          <w:trHeight w:val="237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4718" w:rsidRPr="00AA4718" w:rsidTr="00AA4718">
        <w:trPr>
          <w:trHeight w:val="159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ООО "Юсас-Строй"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A4718" w:rsidRPr="00AA4718" w:rsidTr="00AA4718">
        <w:trPr>
          <w:trHeight w:val="247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A4718" w:rsidRPr="00AA4718" w:rsidTr="00AA4718">
        <w:trPr>
          <w:trHeight w:val="235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ЗАО "Мясокомбинат Елизовский"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11,25000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A4718" w:rsidRPr="00AA4718" w:rsidTr="00AA4718">
        <w:trPr>
          <w:trHeight w:val="134"/>
        </w:trPr>
        <w:tc>
          <w:tcPr>
            <w:tcW w:w="4649" w:type="dxa"/>
            <w:shd w:val="clear" w:color="auto" w:fill="auto"/>
            <w:vAlign w:val="center"/>
          </w:tcPr>
          <w:p w:rsidR="00AA4718" w:rsidRPr="00AA4718" w:rsidRDefault="00AA4718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6.1. </w:t>
      </w:r>
      <w:r w:rsidR="006B7027" w:rsidRPr="006B7027">
        <w:rPr>
          <w:rFonts w:asciiTheme="minorHAnsi" w:hAnsiTheme="minorHAnsi" w:cstheme="minorHAnsi"/>
          <w:szCs w:val="22"/>
        </w:rPr>
        <w:t xml:space="preserve">В рамках </w:t>
      </w:r>
      <w:r w:rsidR="009F0BCF">
        <w:rPr>
          <w:rFonts w:asciiTheme="minorHAnsi" w:hAnsiTheme="minorHAnsi" w:cstheme="minorHAnsi"/>
          <w:szCs w:val="22"/>
        </w:rPr>
        <w:t>П</w:t>
      </w:r>
      <w:r w:rsidR="006B7027" w:rsidRPr="006B7027">
        <w:rPr>
          <w:rFonts w:asciiTheme="minorHAnsi" w:hAnsiTheme="minorHAnsi" w:cstheme="minorHAnsi"/>
          <w:szCs w:val="22"/>
        </w:rPr>
        <w:t>одпрограммы предполагаются к реализации с</w:t>
      </w:r>
      <w:r w:rsidR="009F0BCF">
        <w:rPr>
          <w:rFonts w:asciiTheme="minorHAnsi" w:hAnsiTheme="minorHAnsi" w:cstheme="minorHAnsi"/>
          <w:szCs w:val="22"/>
        </w:rPr>
        <w:t>ледующие инвестиционные проекты</w:t>
      </w:r>
      <w:r w:rsidR="006B7027" w:rsidRPr="006B7027">
        <w:rPr>
          <w:rFonts w:asciiTheme="minorHAnsi" w:hAnsiTheme="minorHAnsi" w:cstheme="minorHAnsi"/>
          <w:szCs w:val="22"/>
        </w:rPr>
        <w:t>:</w:t>
      </w:r>
    </w:p>
    <w:p w:rsidR="00B97093" w:rsidRDefault="00B97093">
      <w:pPr>
        <w:pStyle w:val="ConsPlusNormal"/>
        <w:jc w:val="both"/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1) инвестиционный проект 1: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6B7027" w:rsidRPr="006B7027" w:rsidTr="004755D8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</w:tr>
      <w:tr w:rsidR="006B7027" w:rsidRPr="006B7027" w:rsidTr="004755D8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предприятия-работодателя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3118EB" w:rsidRDefault="003118EB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1200 человек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Золото и серебро в слитках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Коммерческие банки</w:t>
            </w:r>
          </w:p>
        </w:tc>
      </w:tr>
      <w:tr w:rsidR="006B7027" w:rsidRPr="006B7027" w:rsidTr="004755D8">
        <w:trPr>
          <w:trHeight w:val="72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"Аметистовый", объектов обеспечения и инфраструктуры, в том числе автодороги от п. Тиличики до месторождения "Аметистовое". Увеличение объемов реализации золота на внутреннем рынке; вовлечение в освоение новых месторождений в неосвоенном регионе с богатой минерально-сырьевой базой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Олюторский и Пенжинский районы. Находятся на севере Камчатского края. Административные центры – с. Каменское и п. Тиличики. Отличается сложными климатическими условиями и географической удаленностью от крупнейших населенных пунктов региона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1) фаза строительства: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1 очередь строительства (открытые горные работы и внешняя инфраструктура предприятия) - завершена;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 очередь строительства (подземные горные работы) - проводится с 4 кв. 2015 года до 2018 года;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2) фаза эксплуатации:</w:t>
            </w:r>
          </w:p>
          <w:p w:rsidR="003118EB" w:rsidRPr="003118EB" w:rsidRDefault="003118EB" w:rsidP="003118EB">
            <w:pPr>
              <w:autoSpaceDE w:val="0"/>
              <w:autoSpaceDN w:val="0"/>
              <w:adjustRightInd w:val="0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Добыча на месторождении осуществляется с 2012 года.  </w:t>
            </w:r>
          </w:p>
          <w:p w:rsidR="006B7027" w:rsidRPr="003118EB" w:rsidRDefault="003118EB" w:rsidP="003118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Выход на проектную мощность осуществлен в 2016 году. Извлечение разведанных запасов на месторождении Аметистовое планируется производить вплоть до 2029 года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ходе строительства горно-обогатительного комбината "Аметистовый" построены инженерная и энергетическая инфраструктуры.</w:t>
            </w:r>
          </w:p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Планируется строительство автодороги от п. Тиличики до месторождения "Аметистовое" длиной 170 км.</w:t>
            </w:r>
          </w:p>
        </w:tc>
      </w:tr>
      <w:tr w:rsidR="006B7027" w:rsidRPr="006B7027" w:rsidTr="00475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500 тыс. тонн руды в год, до 4 тонн золота в год</w:t>
            </w:r>
          </w:p>
        </w:tc>
      </w:tr>
      <w:tr w:rsidR="003118EB" w:rsidRPr="006B7027" w:rsidTr="004755D8">
        <w:trPr>
          <w:trHeight w:val="2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24.12.2015 № 264,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EB" w:rsidRPr="003118EB" w:rsidRDefault="003118EB" w:rsidP="0083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198 человек, в том числе по годам:</w:t>
            </w:r>
          </w:p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2015 год – 40 чел.;</w:t>
            </w:r>
          </w:p>
          <w:p w:rsidR="0041773D" w:rsidRPr="0041773D" w:rsidRDefault="0041773D" w:rsidP="004177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2016 год – 25 чел.;</w:t>
            </w:r>
          </w:p>
          <w:p w:rsidR="0041773D" w:rsidRPr="0041773D" w:rsidRDefault="0041773D" w:rsidP="004177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2017 год – 75 чел., в том числе: водители и операторы горнообогатительных комбинатов – 51 чел., квалифицированные рабочие в сфере горнодобывающей промышленности – 22 чел., специалисты среднего уровня квалификации (фельдшеры) – 2 чел.;</w:t>
            </w:r>
          </w:p>
          <w:p w:rsidR="003118EB" w:rsidRPr="0041773D" w:rsidRDefault="0041773D" w:rsidP="004177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D">
              <w:rPr>
                <w:rFonts w:asciiTheme="minorHAnsi" w:hAnsiTheme="minorHAnsi" w:cstheme="minorHAnsi"/>
                <w:sz w:val="22"/>
                <w:szCs w:val="22"/>
              </w:rPr>
              <w:t>2018 год – 64 чел., в том числе: водители и операторы горнообогатительных комбинатов – 38 чел., квалифицированные рабочие в сфере горнодобывающей промышленности – 16 чел., инженерно-технические работники в сфере горнодобывающей промышленности – 10 чел.</w:t>
            </w:r>
          </w:p>
        </w:tc>
      </w:tr>
      <w:tr w:rsidR="008C07D1" w:rsidRPr="006B7027" w:rsidTr="004755D8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Инвестиционный проект связан с созданием производства для освоения природных ресурсов в малонаселенных территориях Камчатского края с низкой численностью населения и отсутствием на рынке труда трудовых ресурсов с необходимыми профессионально-квалификационными характеристиками.</w:t>
            </w:r>
          </w:p>
          <w:p w:rsidR="008C07D1" w:rsidRPr="008C07D1" w:rsidRDefault="008C07D1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D1">
              <w:rPr>
                <w:rFonts w:asciiTheme="minorHAnsi" w:hAnsiTheme="minorHAnsi" w:cstheme="minorHAnsi"/>
                <w:sz w:val="22"/>
                <w:szCs w:val="22"/>
              </w:rPr>
              <w:t>Работодателю требуются специалисты, имеющие опыт работы в горнодобывающей промышленности и высокий уровень квалификации. На регистрационном учете в органах службы занятости населения Камчатского края граждане, имеющие необходимую квалификацию и опыт работы, не состоят</w:t>
            </w:r>
          </w:p>
        </w:tc>
      </w:tr>
      <w:tr w:rsidR="006B7027" w:rsidRPr="006B7027" w:rsidTr="004755D8">
        <w:trPr>
          <w:trHeight w:val="45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rPr>
          <w:trHeight w:val="677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в общежитии; на производственном участке. В городе Петропавловске-Камчатском - компенсация за аренду жилья</w:t>
            </w:r>
          </w:p>
        </w:tc>
      </w:tr>
      <w:tr w:rsidR="006B7027" w:rsidRPr="006B7027" w:rsidTr="004755D8">
        <w:trPr>
          <w:trHeight w:val="220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rPr>
          <w:trHeight w:val="15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питания работников в течение рабочего дня</w:t>
            </w:r>
          </w:p>
        </w:tc>
      </w:tr>
      <w:tr w:rsidR="006B7027" w:rsidRPr="006B7027" w:rsidTr="004755D8">
        <w:trPr>
          <w:trHeight w:val="91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6B7027" w:rsidRDefault="006B7027" w:rsidP="004755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4.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6B7027">
        <w:rPr>
          <w:rFonts w:asciiTheme="minorHAnsi" w:hAnsiTheme="minorHAnsi" w:cstheme="minorHAnsi"/>
          <w:szCs w:val="22"/>
        </w:rPr>
        <w:t>2) инвестиционный проект 2:</w:t>
      </w:r>
    </w:p>
    <w:p w:rsidR="006B7027" w:rsidRPr="006B7027" w:rsidRDefault="006B7027" w:rsidP="006B7027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289"/>
      </w:tblGrid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нефтепродуктов емкостью 18000 тонн на базе существующего причального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сооружения в г. Петропавловск-Камчатский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6B7027"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недвижимого имущества;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передача в аренду транспортных средств;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оказание консалтинговых услуг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Траст»;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«Морской Стандарт»;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«Бизнесцентр»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(100% внутренний рынок)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Строительство комплекса по хранению, складированию и перевалке нефтепродуктов.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Цель проекта: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растущей потребности предприятий Камчатского края и развитие свободной рыночной конкуренции в рыночной нише перевалки и хранения нефтепродуктов Камчатского края;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судоходных компаний, осуществляющих экологически безопасную бункеровку судов нефтепродуктами;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в нефтепродуктах судоходных компаний, осуществляющих навигацию по Северному морскому пути (на перспективу);</w:t>
            </w:r>
          </w:p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- удовлетворение потребности компаний Камчатского края, осуществляющих розничную реализацию нефтепродуктов через собственные сети АЗС, в улучшении конкурентной среды на рынке оптовых поставок нефтепродуктов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настоящий момент в Камчатском крае имеется потенциал для развития услуг по хранению и складированию нефтепродуктов, вызванный развитием региона, что, в свою очередь обусловлено статусом территории опережающего развития, развитием Северного морского пути, развитием рыбодобывающей отрасли, а также монополией на рынке хранения и перевалки светлых сортов топлива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2016 год – демонтаж существующих конструкций, перенос инженерных сетей, строительно-монтажные работы, изготовление резервуаров хранения нефтепродуктов; 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 год – строительные работы полного цикла, монтаж резервуаров хранения, пуско-наладочные работы, благоустройство территории;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ввод в эксплуатацию объекта нового строительства, оформление разрешительной документации, опытно-промышленная эксплуатация объекта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Площадкой для реализации проекта являются земельные участки с имущественным комплексом (причальным сооружением), находящиеся у Инициатора проекта ООО "Морской Стандарт - Бункер" на праве собственности (1,41 Га), а также земельные участки на правах долгосрочной аренды (0,76 Га) в северо-западной части Авачинской бухты. Причальное сооружение модернизировано в 2014 году, имеет подходные глубины не менее 8,0 метров. Имеется необходимая энергетическая и транспортная инфраструктура. Имеется проектно-сметная документация и разрешение на строительство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Планируемая продукция (вводимые мощности)</w:t>
            </w:r>
          </w:p>
        </w:tc>
        <w:tc>
          <w:tcPr>
            <w:tcW w:w="6383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Услуги по предоставлению емкостей для хранения нефтепродуктов, инфраструктура для слива/налива нефтепродуктов с/на автотранспорт, морские суда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Приказы Агентства по занятости населения и миграционной политике Камчатского края от 17.08.2016 № 186,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10 человек, в том числе: инженерно-технические работники – 8 чел., руководители – 2 чел.;</w:t>
            </w:r>
          </w:p>
          <w:p w:rsidR="003118EB" w:rsidRPr="003118EB" w:rsidRDefault="003118EB" w:rsidP="0041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2018 год – 1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человек, в том числе: инженерно-технические работники – 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чел., руководители – 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чел.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83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На рынке труда Камчатского края отсутствуют трудовые ресурсы с необходимыми профессионально-квалификационными характеристиками. В регионе отсутствуют образовательные организации, осуществляющие подготовку специалистов высшего уровня квалификации в строительной отрасли. </w:t>
            </w:r>
          </w:p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профессию (специальность) и опыт работы, не состоят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c>
          <w:tcPr>
            <w:tcW w:w="9644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B7027">
        <w:rPr>
          <w:rFonts w:asciiTheme="minorHAnsi" w:hAnsiTheme="minorHAnsi" w:cstheme="minorHAnsi"/>
          <w:sz w:val="22"/>
          <w:szCs w:val="22"/>
        </w:rPr>
        <w:t>3) инвестиционный проект 3:</w:t>
      </w:r>
    </w:p>
    <w:p w:rsidR="006B7027" w:rsidRPr="006B7027" w:rsidRDefault="006B7027" w:rsidP="006B7027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290"/>
      </w:tblGrid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свинокомплекса мощностью до 36000 голов в год </w:t>
            </w:r>
          </w:p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п. Лесной Елизовского района Камчатского края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Наименование предприятия-работодателя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6B7027" w:rsidRDefault="003118EB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Численность работающих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27 человек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виды выпускаемой продукции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 в полутушах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Основные потребители (в т.ч. доля потребителей на внешнем и внутреннем рынках)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Мясоперерабатывающие предприятия Камчатского края – 100%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bCs/>
                <w:sz w:val="22"/>
                <w:szCs w:val="22"/>
              </w:rPr>
              <w:t>Описание проекта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Бизнес-идея (цель)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Обеспечение продуктовой безопасности края, реализация политики импортозамещения и покрытие свыше 70,0% потребности населения Камчатского края в охлажденном мясе по доступной цене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Год разработки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настоящее время в Камчатском крае крупным производителем мяса свинины является ООО "Агротек" (свиноферма п. Сокоч).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В результате реализации проекта ООО "Агротек" увеличит производство мяса свинины в 2,</w:t>
            </w:r>
            <w:proofErr w:type="gramStart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7  раза</w:t>
            </w:r>
            <w:proofErr w:type="gramEnd"/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Срок реализации проекта, этапы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2017-2019 годы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2017 год – строительство объектов инфраструктуры, 2-х корпусов свинокомплекса, вспомогательных зданий;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2018 год – строительство 3-го корпуса свинокомплекса, приобретение с/техники;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 xml:space="preserve">2018 год – приобретение с/техники 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Наличие ресурсов и инфраструктуры для реализации проекта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Поголовье в п. Лесной будет завозиться со свинофермы в п. Сокоч.</w:t>
            </w:r>
          </w:p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Инфраструктура будет возводиться за счет федеральных средств в рамках ФЦП ДВиБР</w:t>
            </w:r>
          </w:p>
        </w:tc>
      </w:tr>
      <w:tr w:rsidR="006B7027" w:rsidRPr="006B7027" w:rsidTr="004755D8">
        <w:tc>
          <w:tcPr>
            <w:tcW w:w="3261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Планируемая продукция (вводимые мощности)</w:t>
            </w:r>
          </w:p>
        </w:tc>
        <w:tc>
          <w:tcPr>
            <w:tcW w:w="6378" w:type="dxa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1852 тонны мяса свинины в полутушах, 267 тонн субпродуктов в год, 7956 поросят в год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включения проекта в Подпрограмму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Приказы Агентства по занятости населения и миграционной политике Камчатского края от 19.08.2016 № 189, от 07.09.2017 № 191, изданные на основании решений рабочей группы по проведению отбора инвестиционных проектов, подлежащих включению в подпрограмму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2017 год – 3 человека (ветеринарный врач, зоотех</w:t>
            </w:r>
            <w:r w:rsidR="0041773D">
              <w:rPr>
                <w:rFonts w:asciiTheme="minorHAnsi" w:hAnsiTheme="minorHAnsi" w:cstheme="minorHAnsi"/>
                <w:sz w:val="22"/>
                <w:szCs w:val="22"/>
              </w:rPr>
              <w:t>ник, главный ветеринарный врач)</w:t>
            </w:r>
          </w:p>
        </w:tc>
      </w:tr>
      <w:tr w:rsidR="003118EB" w:rsidRPr="006B7027" w:rsidTr="004755D8">
        <w:tc>
          <w:tcPr>
            <w:tcW w:w="3261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bCs/>
                <w:sz w:val="22"/>
                <w:szCs w:val="22"/>
              </w:rPr>
              <w:t>Обоснование необходимости привлечения для реализации инвестиционного проекта граждан из других субъектов Российской Федерации</w:t>
            </w:r>
          </w:p>
        </w:tc>
        <w:tc>
          <w:tcPr>
            <w:tcW w:w="6378" w:type="dxa"/>
            <w:shd w:val="clear" w:color="auto" w:fill="auto"/>
          </w:tcPr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В Камчатском крае отсутствуют образовательные организации, осуществляющие подготовку </w:t>
            </w:r>
            <w:proofErr w:type="gramStart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специалистов  необходимой</w:t>
            </w:r>
            <w:proofErr w:type="gramEnd"/>
            <w:r w:rsidRPr="003118EB">
              <w:rPr>
                <w:rFonts w:asciiTheme="minorHAnsi" w:hAnsiTheme="minorHAnsi" w:cstheme="minorHAnsi"/>
                <w:sz w:val="22"/>
                <w:szCs w:val="22"/>
              </w:rPr>
              <w:t xml:space="preserve"> квалификации в сельском хозяйстве. </w:t>
            </w:r>
          </w:p>
          <w:p w:rsidR="003118EB" w:rsidRPr="003118EB" w:rsidRDefault="003118EB" w:rsidP="00833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8EB">
              <w:rPr>
                <w:rFonts w:asciiTheme="minorHAnsi" w:hAnsiTheme="minorHAnsi" w:cstheme="minorHAnsi"/>
                <w:sz w:val="22"/>
                <w:szCs w:val="22"/>
              </w:rPr>
              <w:t>На регистрационном учете в органах службы занятости населения Камчатского края граждане, имеющие необходимую специальность, квалификацию и опыт работы, не состоят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работодателями за счет собственных средств работнику и членам его семьи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1. Предоставление жилья на период осуществления трудовой деятельности либо компенсация за аренду жилья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2. Оплата за обучение по программам повышения квалификации</w:t>
            </w:r>
          </w:p>
        </w:tc>
      </w:tr>
      <w:tr w:rsidR="006B7027" w:rsidRPr="006B7027" w:rsidTr="004755D8">
        <w:tc>
          <w:tcPr>
            <w:tcW w:w="9639" w:type="dxa"/>
            <w:gridSpan w:val="2"/>
            <w:shd w:val="clear" w:color="auto" w:fill="auto"/>
          </w:tcPr>
          <w:p w:rsidR="006B7027" w:rsidRPr="006B7027" w:rsidRDefault="006B7027" w:rsidP="004755D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7027">
              <w:rPr>
                <w:rFonts w:asciiTheme="minorHAnsi" w:hAnsiTheme="minorHAnsi" w:cstheme="minorHAnsi"/>
                <w:sz w:val="22"/>
                <w:szCs w:val="22"/>
              </w:rPr>
              <w:t>3. Оплата проезда к месту отдыха и обратно</w:t>
            </w:r>
          </w:p>
        </w:tc>
      </w:tr>
    </w:tbl>
    <w:p w:rsidR="00B97093" w:rsidRPr="006B7027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6C0ADC" w:rsidRDefault="006C0ADC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6.2. Основные направления социально-экономического</w:t>
      </w:r>
    </w:p>
    <w:p w:rsidR="00B97093" w:rsidRDefault="00B97093">
      <w:pPr>
        <w:pStyle w:val="ConsPlusNormal"/>
        <w:jc w:val="center"/>
      </w:pPr>
      <w:r>
        <w:t>развития Пенжинского муниципального района</w:t>
      </w:r>
    </w:p>
    <w:p w:rsidR="00B97093" w:rsidRDefault="00B97093">
      <w:pPr>
        <w:pStyle w:val="ConsPlusNormal"/>
        <w:jc w:val="both"/>
      </w:pP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6.2.1. Пенжинский муниципальный район расположен в северной части Камчатского края, его площадь составляет 116,7 тыс. кв. километров.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состав Пенжинского муниципального района входит 5 сельских поселений ("село Аянка", "село Слаутное", "село Таловка", "село Каменское", "село Манилы"), а также населенные пункты село Оклан и село Парень.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6.2.2. На 1 января 2016 года в Пенжинском муниципальном районе проживало 2190 человек, среди них 67,0% – коренные малочисленные народы (ительмены, коряки, чукчи, эвены).  Плотность населения на 1 кв. м составляет 0,02 человека. 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51,0%, женщины – 49,0%.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bCs/>
          <w:i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6.2.3. </w:t>
      </w:r>
      <w:r w:rsidRPr="006A6E2B">
        <w:rPr>
          <w:rFonts w:asciiTheme="minorHAnsi" w:hAnsiTheme="minorHAnsi" w:cstheme="minorHAnsi"/>
          <w:bCs/>
          <w:sz w:val="22"/>
          <w:szCs w:val="22"/>
        </w:rPr>
        <w:t>Транспортная доступность.</w:t>
      </w:r>
      <w:r w:rsidRPr="006A6E2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bCs/>
          <w:sz w:val="22"/>
          <w:szCs w:val="22"/>
        </w:rPr>
        <w:t xml:space="preserve">В силу своего географического положения Пенжинский муниципальный район является самым труднодоступным из всех районов Камчатского края, </w:t>
      </w:r>
      <w:r w:rsidRPr="006A6E2B">
        <w:rPr>
          <w:rFonts w:asciiTheme="minorHAnsi" w:hAnsiTheme="minorHAnsi" w:cstheme="minorHAnsi"/>
          <w:sz w:val="22"/>
          <w:szCs w:val="22"/>
        </w:rPr>
        <w:t>транспортная сеть в районе практически отсутствует, что мешает развитию всех сфер деятельности.</w:t>
      </w:r>
    </w:p>
    <w:p w:rsidR="006A6E2B" w:rsidRPr="006A6E2B" w:rsidRDefault="006A6E2B" w:rsidP="006A6E2B">
      <w:pPr>
        <w:pStyle w:val="af0"/>
        <w:widowControl w:val="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A6E2B">
        <w:rPr>
          <w:rFonts w:asciiTheme="minorHAnsi" w:hAnsiTheme="minorHAnsi" w:cstheme="minorHAnsi"/>
        </w:rPr>
        <w:t>Пассажирские перевозки между краевым центром и сельскими поселениями и населенными пунктами района круглый год осуществляется авиационным транспортом.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Водный транспорт и автозимники используются в основном для перевозки грузов в отдаленные села района.</w:t>
      </w:r>
      <w:r w:rsidRPr="006A6E2B">
        <w:rPr>
          <w:rFonts w:asciiTheme="minorHAnsi" w:hAnsiTheme="minorHAnsi" w:cstheme="minorHAnsi"/>
          <w:bCs/>
          <w:sz w:val="22"/>
          <w:szCs w:val="22"/>
        </w:rPr>
        <w:t xml:space="preserve"> Доставка грузов морским транспортом происходит в период летней навигации с мая по сентябрь. </w:t>
      </w:r>
    </w:p>
    <w:p w:rsidR="006A6E2B" w:rsidRPr="006A6E2B" w:rsidRDefault="006A6E2B" w:rsidP="006A6E2B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На сегодняшний день в районе существует </w:t>
      </w:r>
      <w:smartTag w:uri="urn:schemas-microsoft-com:office:smarttags" w:element="metricconverter">
        <w:smartTagPr>
          <w:attr w:name="ProductID" w:val="110,3 км"/>
        </w:smartTagPr>
        <w:r w:rsidRPr="006A6E2B">
          <w:rPr>
            <w:rFonts w:asciiTheme="minorHAnsi" w:hAnsiTheme="minorHAnsi" w:cstheme="minorHAnsi"/>
            <w:sz w:val="22"/>
            <w:szCs w:val="22"/>
          </w:rPr>
          <w:t>110,3 км</w:t>
        </w:r>
      </w:smartTag>
      <w:r w:rsidRPr="006A6E2B">
        <w:rPr>
          <w:rFonts w:asciiTheme="minorHAnsi" w:hAnsiTheme="minorHAnsi" w:cstheme="minorHAnsi"/>
          <w:sz w:val="22"/>
          <w:szCs w:val="22"/>
        </w:rPr>
        <w:t xml:space="preserve"> дорог общего пользования, также активно используются автозимники для завоза различных грузов, в том числе и топливно-энергетических ресурсов. В районе </w:t>
      </w: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успешно эксплуатируется амфибийный вездеход на воздушной подушке «Арктика-2ДК».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Calibri" w:hAnsiTheme="minorHAnsi" w:cstheme="minorHAnsi"/>
          <w:sz w:val="22"/>
          <w:szCs w:val="22"/>
          <w:lang w:eastAsia="en-US"/>
        </w:rPr>
        <w:t>6.2.4. </w:t>
      </w:r>
      <w:r w:rsidRPr="006A6E2B">
        <w:rPr>
          <w:rFonts w:asciiTheme="minorHAnsi" w:hAnsiTheme="minorHAnsi" w:cstheme="minorHAnsi"/>
          <w:sz w:val="22"/>
          <w:szCs w:val="22"/>
        </w:rPr>
        <w:t xml:space="preserve">Пенжинский муниципальный район имеет значительный минерально-ресурсный потенциал. Территория весьма перспективна на поиски и добычу благородных металлов (золото, серебро, платина). 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iCs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lastRenderedPageBreak/>
        <w:t>В пределах района находятся две угленосные площади, имеются два каменноугольных бассейна, м</w:t>
      </w:r>
      <w:r w:rsidRPr="006A6E2B">
        <w:rPr>
          <w:rFonts w:asciiTheme="minorHAnsi" w:hAnsiTheme="minorHAnsi" w:cstheme="minorHAnsi"/>
          <w:iCs/>
          <w:sz w:val="22"/>
          <w:szCs w:val="22"/>
        </w:rPr>
        <w:t>есторождение торфа, запасы известняка.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Наряду с разнообразием полезных ископаемых Пенжинский муниципальный район располагает богатыми водными биоресурсами, необходимыми для обеспечения стабильной деятельности рыбоперерабатывающих производств.</w:t>
      </w:r>
    </w:p>
    <w:p w:rsidR="006A6E2B" w:rsidRPr="006A6E2B" w:rsidRDefault="006A6E2B" w:rsidP="006A6E2B">
      <w:pPr>
        <w:widowControl w:val="0"/>
        <w:autoSpaceDE w:val="0"/>
        <w:autoSpaceDN w:val="0"/>
        <w:adjustRightInd w:val="0"/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Рациональное использование уникальных особенностей гидросистемы района и строительство гидроэлектростанций обеспечит район дополнительной электроэнергией. Использование собственных ресурсов района значительно сократит себестоимость электроэнергии и соответственно стоимость услуг, предоставляемых населению и организациям.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eastAsia="SimSun" w:hAnsiTheme="minorHAnsi" w:cstheme="minorHAnsi"/>
          <w:sz w:val="22"/>
          <w:szCs w:val="22"/>
          <w:lang w:eastAsia="zh-CN"/>
        </w:rPr>
        <w:t>В Пенжинском муниципальном районе работает 3 ГУП оленеводческих промысловых совхоза, которые расположены в национальных селах:  ГУП ОПС «Пенжинский» – с.Слаутное, ГУП ОПС «Манильский» – с.Манилы, ГУП ОПС «Таловский» – с.Таловка.</w:t>
      </w:r>
      <w:r w:rsidRPr="006A6E2B">
        <w:rPr>
          <w:rFonts w:asciiTheme="minorHAnsi" w:hAnsiTheme="minorHAnsi" w:cstheme="minorHAnsi"/>
          <w:sz w:val="22"/>
          <w:szCs w:val="22"/>
        </w:rPr>
        <w:t> </w:t>
      </w:r>
    </w:p>
    <w:p w:rsidR="006A6E2B" w:rsidRPr="006A6E2B" w:rsidRDefault="006A6E2B" w:rsidP="006A6E2B">
      <w:pPr>
        <w:pStyle w:val="14"/>
        <w:widowControl w:val="0"/>
        <w:shd w:val="clear" w:color="auto" w:fill="auto"/>
        <w:tabs>
          <w:tab w:val="left" w:leader="underscore" w:pos="3604"/>
        </w:tabs>
        <w:spacing w:line="240" w:lineRule="auto"/>
        <w:ind w:firstLine="709"/>
        <w:rPr>
          <w:rFonts w:cstheme="minorHAnsi"/>
        </w:rPr>
      </w:pPr>
      <w:bookmarkStart w:id="7" w:name="bookmark12"/>
      <w:r w:rsidRPr="006A6E2B">
        <w:rPr>
          <w:rFonts w:cstheme="minorHAnsi"/>
        </w:rPr>
        <w:t>6.2.5. Промышленное производство Пенжинского муниципального района представлено золотодобывающими предприятиями, производством и распределением электроэнергии и воды, и предприятиями и индивидуальными предпринимателями, осуществляющими свою деятельность в сфере лесозаготовок и рыболовства.</w:t>
      </w:r>
    </w:p>
    <w:p w:rsidR="006A6E2B" w:rsidRPr="006A6E2B" w:rsidRDefault="006A6E2B" w:rsidP="006A6E2B">
      <w:pPr>
        <w:pStyle w:val="af1"/>
        <w:widowControl w:val="0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Добычу россыпного золота в Пенжинском муниципальном районе ведут частные предприятия: ООО "Артель старателей "Вектор Плюс", ООО "Артель старателей "Камчатка", ООО "Андрадит", ООО "Пенжинская горная компания". 25 сентября 2015 года состоялся запуск горно-обогатительного комбината "Аметистовый".</w:t>
      </w:r>
    </w:p>
    <w:bookmarkEnd w:id="7"/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6.2.6. Система образования Пенжинского муниципального района состоит из  5 общеобразовательных школ, 4 дошкольных образовательных учреждений и 2 учреждений дополнительного образования.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2016 году завершено проектирование сельского учебного комплекса "Школа-детский сад" в с. Каменское на 161 ученическое и 80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6A6E2B">
        <w:rPr>
          <w:rFonts w:asciiTheme="minorHAnsi" w:hAnsiTheme="minorHAnsi" w:cstheme="minorHAnsi"/>
          <w:sz w:val="22"/>
          <w:szCs w:val="22"/>
        </w:rPr>
        <w:t>Ведутся работы по проектированию сельского учебного комплекса "Школа - детский сад" в с.Таловка на 60 ученических и 30 дошкольных мест.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6.2.7. </w:t>
      </w:r>
      <w:r w:rsidRPr="006A6E2B">
        <w:rPr>
          <w:rFonts w:asciiTheme="minorHAnsi" w:hAnsiTheme="minorHAnsi" w:cstheme="minorHAnsi"/>
          <w:sz w:val="22"/>
          <w:szCs w:val="22"/>
        </w:rPr>
        <w:t>В Пенжинском муниципальном районе услуги в сфере медицинской помощи оказывает КГБУ "Пенжинская районная больница". В плановом периоде планируется строительство фельдшерско-акушерских пунктов в с. Аянка и  с. Слаутное.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 xml:space="preserve">6.2.8. Доступ населения к культурным услугам обеспечивается деятельностью 4 учреждений культуры, которые имеют 13 обособленных филиалов:  </w:t>
      </w:r>
      <w:r w:rsidRPr="006A6E2B">
        <w:rPr>
          <w:rFonts w:asciiTheme="minorHAnsi" w:hAnsiTheme="minorHAnsi" w:cstheme="minorHAnsi"/>
          <w:sz w:val="22"/>
          <w:szCs w:val="22"/>
          <w:shd w:val="clear" w:color="auto" w:fill="FFFFFF"/>
        </w:rPr>
        <w:t>культурно-досуговый комплекс, межпоселенческая централизованная библиотечная система, краеведческий музей, этнический центр «Дорова»</w:t>
      </w:r>
      <w:r w:rsidRPr="006A6E2B">
        <w:rPr>
          <w:rFonts w:asciiTheme="minorHAnsi" w:hAnsiTheme="minorHAnsi" w:cstheme="minorHAnsi"/>
          <w:sz w:val="22"/>
          <w:szCs w:val="22"/>
        </w:rPr>
        <w:t>.</w:t>
      </w:r>
    </w:p>
    <w:p w:rsidR="006A6E2B" w:rsidRPr="006A6E2B" w:rsidRDefault="006A6E2B" w:rsidP="006A6E2B">
      <w:pPr>
        <w:widowControl w:val="0"/>
        <w:tabs>
          <w:tab w:val="left" w:pos="127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6.2.9. На начало 2016 года жилищный фонд Пенжинского муниципального района насчитывал 230 домов или 50,9 тыс. кв. метров. В 2015 году на одного жителя района в среднем приходилось 23,2 кв. метра.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На протяжении последних 25 лет на территории района не было построено ни одного квадратного метра жилья, тогда как имеющийся жилищный фонд из-за суровых климатических условий и иных факторов ускоренными темпами приходит в негодность, в результате чего ежегодно сокращается общая площадь жилых помещений, приходящаяся в среднем на одного жителя.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В дальнейшем планируется строительство жилых домов в селах Манилы, Каменское, Аянка. По с. Аянка выполнены работы по привязке проекта 8-ми квартирного жилого дома к земельному участку, подана заявка на финансирование в 2017 году.</w:t>
      </w:r>
    </w:p>
    <w:p w:rsidR="006A6E2B" w:rsidRPr="006A6E2B" w:rsidRDefault="006A6E2B" w:rsidP="006A6E2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6.2.10. Основными приоритетными направлениями социально-экономического развития района являются поддержка сфер образования и здравоохранения, реформирование жилищно-коммунальной отрасли, поддержка и развитие сельского хозяйства, создание благоприятных условий для расширения и развития муниципального сектора экономики, в том числе малого бизнеса,  социальная поддержка наиболее незащищенных слоев населения.</w:t>
      </w:r>
    </w:p>
    <w:p w:rsidR="006A6E2B" w:rsidRPr="006A6E2B" w:rsidRDefault="006A6E2B" w:rsidP="006A6E2B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6A6E2B">
        <w:rPr>
          <w:rFonts w:asciiTheme="minorHAnsi" w:hAnsiTheme="minorHAnsi" w:cstheme="minorHAnsi"/>
          <w:sz w:val="22"/>
          <w:szCs w:val="22"/>
        </w:rPr>
        <w:t>Бюджет Пенжинского муниципального района является высокодотационным, удельный вес расходов приходится на общегосударственные вопросы, образование, культуру, социальную политику и межбюджетные трансферты.</w:t>
      </w:r>
    </w:p>
    <w:p w:rsidR="00B97093" w:rsidRPr="006A6E2B" w:rsidRDefault="006A6E2B" w:rsidP="006A6E2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6A6E2B">
        <w:rPr>
          <w:rFonts w:asciiTheme="minorHAnsi" w:hAnsiTheme="minorHAnsi" w:cstheme="minorHAnsi"/>
          <w:szCs w:val="22"/>
        </w:rPr>
        <w:t>Наиболее важным для Пенжинского муниципального района остается развитие горнодобывающей промышленности.</w:t>
      </w:r>
    </w:p>
    <w:p w:rsidR="001D3E26" w:rsidRDefault="001D3E26"/>
    <w:p w:rsidR="009F0BCF" w:rsidRDefault="009F0BCF" w:rsidP="001D3E26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6.3. Основные направления социально-экономического развития </w:t>
      </w:r>
    </w:p>
    <w:p w:rsidR="001D3E26" w:rsidRPr="001D3E26" w:rsidRDefault="001D3E26" w:rsidP="001D3E26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 городского округа</w:t>
      </w:r>
    </w:p>
    <w:p w:rsidR="001D3E26" w:rsidRPr="001D3E26" w:rsidRDefault="001D3E26" w:rsidP="001D3E26">
      <w:pPr>
        <w:autoSpaceDE w:val="0"/>
        <w:autoSpaceDN w:val="0"/>
        <w:adjustRightInd w:val="0"/>
        <w:ind w:left="72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6.3.1. На 1 января 2016 года на учете в Статистическом Регистре предприятий (организаций) состояло 7511 организаций, включая филиалы и представительства, и 7966 индивидуальных предпринимателей без образования юридического лица. Из числа хозяйствующих субъектов 24,8% приходится на организации, занимающиеся оптовой и розничной торговлей, включая ремонт автотранспортных средств и бытовых изделий, 18,5% – операциями с недвижимым имуществом, арендой и предоставлением услуг, 13,2% – строительством, 10,5% – транспортом и связью.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Как и прежде, наибольший удельный вес в общем количестве организаций (86,8%) составляют организации частной формы собственности.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6.3.2. За 2015 год объем отгруженных товаров собственного производства, выполненных работ и услуг собственными силами по фактическим видам деятельности крупных и средних предприятий составил 63,75 млрд. рублей, что в действующих ценах на 30,5% больше по сравнению с уровнем 2014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по полному кругу хозяйствующих субъектов составил 103,5%; по крупным и средним предприятиям – 105,8%.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Наибольшую долю в объеме отгруженной продукции (51,4%) занимают предприятия обрабатывающих производств. За 2015 год ими отгружено продукции на 32,8 млрд. рублей, что в 1,8 раза выше уровня 2014 года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Промышленность городского округа имеет традиционно сложившуюся отраслевую структуру: обрабатывающие производства, строительство, добыча полезных ископаемых, производство и распределение электроэнергии, газа и воды. Среди отраслей обрабатывающих производств наибольший вес имеют предприятия пищевой (преимущественно рыбоперерабатывающей) промышленности и судоремонта, развитие которых определяет динамику развития отрасли в целом.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Объем работ, выполненных по виду деятельности "Строительство", в 2015 году составил 12,1 млрд. рублей, что в фактических ценах на 6,6% больше, чем 2014 году. С начала 2015 года в краевом центре построен 91 жилой дом общей площадью 39958 кв. метров, из них 84 жилых дома построено населением. Для сравнения, в 2014 году построено 77 жилых дома общей площадью 59428 кв. метров, 58 из которых индивидуальные жилые дома.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6.3.3. Потребительский рынок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 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за последние годы имеет устойчивую тенденцию к динамичному развитию.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По итогам 2015 года оборот розничной торговли составил 10,2 млрд. рублей и вырос по сравнению с 2014 годом на 7,6% в сопоставимых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Оборот общественного питания составил 248,3 млн. рублей, что на  34,5% больше, чем в 2014 году. Платных услуг населению оказано на сумму 11,8 млрд. рублей. В структуре платных услуг продолжают преобладать жилищно-коммунальные услуги, транспортные услуги и услуги связи. На их долю приходится 88,6% объема потребляемых услуг.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6.3.4. Основной транспортный узел городского округа – морской порт Петропавловск-Камчатский (грузооборот около 2,2 млн. тонн грузов в год) входит в программу модернизации и развития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государства.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До 2020 года предусмотрена модернизация и строительство новых пирсов на территории порта для восстановления и развития пассажирских перевозок, в том числе пирсов для приема международных круизных лайнеров.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С 2013 года особое внимание уделяется развитию дорожной инфраструктуры, в том числе начаты мероприятия по строительству и модернизации автомобильных дорог, соединяющих отдаленные части </w:t>
      </w: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6.3.5. Потенциал туристической отрасли обеспечивают разнообразные природные ресурсы Камчатского края. На территории </w:t>
      </w:r>
      <w:r w:rsidRPr="001D3E26">
        <w:rPr>
          <w:rFonts w:asciiTheme="minorHAnsi" w:hAnsiTheme="minorHAnsi" w:cstheme="minorHAnsi"/>
          <w:bCs/>
          <w:sz w:val="22"/>
          <w:szCs w:val="22"/>
        </w:rPr>
        <w:t>Петропавловск-Камчатского</w:t>
      </w:r>
      <w:r w:rsidRPr="001D3E26">
        <w:rPr>
          <w:rFonts w:asciiTheme="minorHAnsi" w:hAnsiTheme="minorHAnsi" w:cstheme="minorHAnsi"/>
          <w:sz w:val="22"/>
          <w:szCs w:val="22"/>
        </w:rPr>
        <w:t xml:space="preserve"> городского округа предоставляются следующие туристические продукты: сити-туры с посещением музеев и осмотром исторических памятников, круизные туры по Авачинской бухте, велотуры, горнолыжные туры, рыболовные туры и дайвинг, спортивно-оздоровительные, деловые и научные туры и др.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6.3.6. Среднемесячная номинальная заработная плата,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начисленная работникам крупных и средних предприятий и организаций городского округа за 2015 год, сложилась в размере 67130,9 рубля и составила 107,3% к уровню предыдущего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lastRenderedPageBreak/>
        <w:t xml:space="preserve">Средняя заработная плата в 3,6 раза превышает прожиточный минимум трудоспособного населения, установленный в Камчатском крае.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6.3.7. Стоимость минимального набора продуктов питания, входящих в потребительскую корзину, рассчитанного по среднероссийским нормам потребления, в среднем по Петропавловск-Камчатскому городскому округу на конец декабря составила 5752,04 рубля. По сравнению с декабрем 2014 года она увеличилась на 15,1%.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  <w:highlight w:val="yellow"/>
        </w:rPr>
      </w:pPr>
      <w:r w:rsidRPr="001D3E26">
        <w:rPr>
          <w:rFonts w:asciiTheme="minorHAnsi" w:hAnsiTheme="minorHAnsi" w:cstheme="minorHAnsi"/>
          <w:sz w:val="22"/>
          <w:szCs w:val="22"/>
        </w:rPr>
        <w:t>6.3.8. По состоянию на 01.01.2016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численность населения</w:t>
      </w:r>
      <w:r w:rsidRPr="001D3E2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</w:rPr>
        <w:t>Петропавловск-Камчатского городского округа составила 180,963 тыс. человек, сократившись по сравнению с численностью населения на 01.01.2015 на 52 человека. Снижение численности населения краевого центра обусловлено  увеличением миграционного оттока.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в 2015 году снизился на 3,9%  (15903 человека против 16556 человек в 2014 году). В городской округ прибыло 7696  человек, убыло – 8207 человек. Миграционная убыль – 511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на территории Петропавловск-Камчатского городского округа в 2015 году составил 0,9% от численности трудоспособного населения.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г. Петропавловску-Камчатскому состояло 1324 незанятых трудовой деятельностью гражданина, обратившихся в целях поиска работы, из них признано безработными 978 человек (73,9% от незанятых), 648 безработных граждан получают пособие по безработице (66,3%).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0,8% от численности трудоспособного населения.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 </w:t>
      </w:r>
      <w:r w:rsidRPr="001D3E26">
        <w:rPr>
          <w:rFonts w:asciiTheme="minorHAnsi" w:hAnsiTheme="minorHAnsi" w:cstheme="minorHAnsi"/>
          <w:bCs/>
          <w:sz w:val="22"/>
          <w:szCs w:val="22"/>
        </w:rPr>
        <w:t xml:space="preserve">Основные направления социально-экономического развития 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Елизовского муниципального района</w:t>
      </w:r>
    </w:p>
    <w:p w:rsidR="001D3E26" w:rsidRPr="001D3E26" w:rsidRDefault="001D3E26" w:rsidP="001D3E2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6.4.1. По итогам 2015 года оборот крупных и средних организаций составил  20,16 млрд. рублей или 112,1% в сравнении с показателем 2014 года в действующих ценах. </w:t>
      </w:r>
    </w:p>
    <w:p w:rsidR="001D3E26" w:rsidRPr="001D3E26" w:rsidRDefault="001D3E26" w:rsidP="001D3E2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Объем отгруженных товаров, выполненных работ и услуг собственного производства крупных и средних предприятий и организаций за 2015 год в целом составил 15,25  млрд. рублей, что выше показателей 2014 года на  11,5% в действующих ценах.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Индекс промышленного производства составил 94,9%, что свидетельствует о снижении производства на ряде предприятий района (показатель 2014 года 97,6%), при этом в обрабатывающих производствах индекс производства составил 102,9%, в производстве пищевых продуктов – 103,7%.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Рост оборота розничной торговли за 2015 год к уровню 2014 года составил 110,7%.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6.4.2. Доля сельскохозяйственного производства Елизовского муниципального района в совокупном сельскохозяйственном производстве Камчатского края составляет около 84,4%. Структура сельского хозяйства района представлена молочной,  мясной, птицеводческой, картофелеводческой и овощеводческой отраслями.</w:t>
      </w:r>
    </w:p>
    <w:p w:rsidR="001D3E26" w:rsidRPr="001D3E26" w:rsidRDefault="001D3E26" w:rsidP="001D3E26">
      <w:pPr>
        <w:ind w:firstLine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Выпуск продукции сельского хозяйства в 2015 году составил 7,1 млрд. рублей или 94,6% к уровню 2014 года. Из общего объема выпуска продукции доля растениеводства составила 56,0%, животноводства – 44,0%.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6.4.3. По итогам 2015 года всеми хозяйствами района произведено: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1) 4401,4 тонн мяса скота и птицы (в живом весе), что на 12,0% превышает показатель 2014 года;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2) 14218,8 тонн молока, что выше уровня 2014 года на 1,4%;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3) 51,4 </w:t>
      </w:r>
      <w:r w:rsidRPr="001D3E26">
        <w:rPr>
          <w:rFonts w:asciiTheme="minorHAnsi" w:eastAsia="Calibri" w:hAnsiTheme="minorHAnsi" w:cstheme="minorHAnsi"/>
          <w:sz w:val="22"/>
          <w:szCs w:val="22"/>
          <w:lang w:eastAsia="en-US"/>
        </w:rPr>
        <w:t>млн. штук яйца, что на 15,3% больше, чем в 2014 году</w:t>
      </w:r>
      <w:r w:rsidRPr="001D3E2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6.4.4. В целях поддержки сельхозтоваропроизводителей района в 2015 году в рамках краевой и муниципальной программ были предоставлены субсидии общим объемом 16,7 млн. рублей, из них средства районного бюджета – 1,7 млн. рублей.  Субсидии направлены на возмещение части затрат, связанных со строительством новых производственных мощностей по промышленной переработке молока и ремонтом животноводческих помещений.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6.4.5. Объем инвестиций в основной капитал в 2015 году составил 2,9 млрд. рублей, что в действующих ценах  на 10,4% выше уровня 2014 года.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2015 году введен в эксплуатацию склад готовой продукции УМП ОПХ "Заречное", что позволило обеспечить бесперебойную работу молокозавода и дало возможность накопления товарных запасов для последующей реализации, а также расширить ассортимент выпускаемой продукции, улучшить ее качество и продлить срок хранения.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lastRenderedPageBreak/>
        <w:t xml:space="preserve">В 2015 году начато строительство убойного пункта УМП ОПХ "Заречное" мощностью 10 голов крупного рогатого скота или 20 свиней в смену. В настоящее время ведется монтаж оборудования. 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ЗАО "Агротек-Холдинг" осуществляет строительство свинокомплекса на 36 тыс. голов в год и капитальный ремонт здания для размещения цеха по переработке скота объемом 20 голов в час в п. Нагорный </w:t>
      </w:r>
      <w:r w:rsidRPr="001D3E26">
        <w:rPr>
          <w:rFonts w:asciiTheme="minorHAnsi" w:eastAsia="BatangChe" w:hAnsiTheme="minorHAnsi" w:cstheme="minorHAnsi"/>
          <w:bCs/>
        </w:rPr>
        <w:t>Елизовского муниципального района</w:t>
      </w:r>
      <w:r w:rsidRPr="001D3E26">
        <w:rPr>
          <w:rFonts w:asciiTheme="minorHAnsi" w:hAnsiTheme="minorHAnsi" w:cstheme="minorHAnsi"/>
        </w:rPr>
        <w:t>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п. Зеленый ООО "Камчатпищепром" произведена реконструкция птицефабрики по производству бройлеров мощностью 3400 тонн охлажденного мяса в год.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В 2015 году на птицефабрике ОАО "Пионерское" после реконструкции введено в эксплуатацию производственное помещение для содержания кур-несушек, рассчитанное на 37 тыс. голов, запущен в эксплуатацию новый инкубатор и построен дизбарьер.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 xml:space="preserve">В 2015 – 2016 годах в </w:t>
      </w:r>
      <w:r w:rsidRPr="001D3E26">
        <w:rPr>
          <w:rFonts w:asciiTheme="minorHAnsi" w:hAnsiTheme="minorHAnsi" w:cstheme="minorHAnsi"/>
          <w:bCs/>
        </w:rPr>
        <w:t>Елизовском муниципальном районе</w:t>
      </w:r>
      <w:r w:rsidRPr="001D3E26">
        <w:rPr>
          <w:rFonts w:asciiTheme="minorHAnsi" w:hAnsiTheme="minorHAnsi" w:cstheme="minorHAnsi"/>
        </w:rPr>
        <w:t xml:space="preserve"> реализуются мероприятия по созданию территории опережающего социально-экономического развития "Камчатка" (далее – ТОР "Камчатка").</w:t>
      </w:r>
    </w:p>
    <w:p w:rsidR="001D3E26" w:rsidRPr="001D3E26" w:rsidRDefault="001D3E26" w:rsidP="001D3E26">
      <w:pPr>
        <w:pStyle w:val="ac"/>
        <w:suppressAutoHyphens/>
        <w:spacing w:after="0" w:line="240" w:lineRule="auto"/>
        <w:ind w:firstLine="709"/>
        <w:rPr>
          <w:rFonts w:asciiTheme="minorHAnsi" w:hAnsiTheme="minorHAnsi" w:cstheme="minorHAnsi"/>
        </w:rPr>
      </w:pPr>
      <w:r w:rsidRPr="001D3E26">
        <w:rPr>
          <w:rFonts w:asciiTheme="minorHAnsi" w:hAnsiTheme="minorHAnsi" w:cstheme="minorHAnsi"/>
        </w:rPr>
        <w:t>Разработаны проекты планировок территорий и проекты межевания территорий агропромышленного парка "Зеленовские озерки" и туристско-рекреационного кластера "Зеленовские озерки". Заключены муниципальные контракты на разработку проектно-сметной документации по строительству 3-х автомобильных дорог и линий наружного освещения, ввод в эксплуатацию которых запланирован на конец 2017 года.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Заключен муниципальный контракт на разработку документации (ППТ, ПМТ, изыскания, проектирование и экспертиза) по основной дороге и съезды к участкам туристско-рекреационного кластера "Паратунка", входящего в состав ТОР "Камчатка".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6.4.6. 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Елизовского муниципального района.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На начало 2016 года на территории района осуществляли деятельность 3149 субъекта малого и среднего предпринимательства, из них 2389 индивидуальных предпринимателя. 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В 2015 году на финансирование мероприятий по оказанию поддержки малому и среднему предпринимательству фактически направлено 7,188 млн. рублей.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7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в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было  отремонтировано 18,4 км сетей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ХВС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, 4,8 км канализационных сетей и более 5,1 км сетей отопления,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ГВС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Также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проведены работы по замене и ремонту ветхих сетей тепло и водоснабжения  на  7 объектах социальной сферы.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поселениях района выполнены работы по замене участков ветхих инженерных сетей общей протяженностью 8,364 км.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комплексного благоустройства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населенных пунктов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восстановлено 3,2 км покрыти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>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 xml:space="preserve"> автомобильных дорог общего пользования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  <w:lang w:val="ru-RU"/>
        </w:rPr>
        <w:t xml:space="preserve">, </w:t>
      </w:r>
      <w:r w:rsidRPr="001D3E26">
        <w:rPr>
          <w:rFonts w:asciiTheme="minorHAnsi" w:hAnsiTheme="minorHAnsi" w:cstheme="minorHAnsi"/>
          <w:bCs/>
          <w:caps w:val="0"/>
          <w:sz w:val="22"/>
          <w:szCs w:val="22"/>
        </w:rPr>
        <w:t>отремонтировано 4,5 тыс. кв. метров асфальтобетонного покрытия дворовых территорий, съездов и внутриквартальных проездов.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caps w:val="0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139,4 млн. рублей.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6.4.8. Туризм – один из главных приоритетов социально-экономического развития Елизовского муниципального района.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2013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–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2016 годах в рамках программных мероприятий на территории района были обустроены сезонные смотровые площадки и кемпинги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на Серебряном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ручье, Верхне-Паратунских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источник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ах, Вилючинском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перевал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е, у подножья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вулкана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Горелый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2015 году завершена реконструкция гостиничного корпуса на 54 номера санаторно-курортного комплекса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"Санаторий Начикинский"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, построены открытые бассейны.</w:t>
      </w:r>
    </w:p>
    <w:p w:rsidR="001D3E26" w:rsidRPr="001D3E26" w:rsidRDefault="001D3E26" w:rsidP="001D3E26">
      <w:pPr>
        <w:pStyle w:val="7"/>
        <w:spacing w:before="0" w:after="0" w:line="240" w:lineRule="auto"/>
        <w:ind w:firstLine="709"/>
        <w:rPr>
          <w:rStyle w:val="ab"/>
          <w:rFonts w:asciiTheme="minorHAnsi" w:hAnsiTheme="minorHAnsi" w:cstheme="minorHAnsi"/>
          <w:i w:val="0"/>
          <w:iCs w:val="0"/>
        </w:rPr>
      </w:pPr>
      <w:r w:rsidRPr="001D3E26">
        <w:rPr>
          <w:rStyle w:val="ab"/>
          <w:rFonts w:asciiTheme="minorHAnsi" w:hAnsiTheme="minorHAnsi" w:cstheme="minorHAnsi"/>
          <w:i w:val="0"/>
          <w:iCs w:val="0"/>
        </w:rPr>
        <w:t>6.4.9. В Елизовском муниципальном районе функционирует 20 общеобразовательных организаций и 21 образовательн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 xml:space="preserve">ая организация 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дошкольно</w:t>
      </w:r>
      <w:r w:rsidRPr="001D3E26">
        <w:rPr>
          <w:rStyle w:val="ab"/>
          <w:rFonts w:asciiTheme="minorHAnsi" w:hAnsiTheme="minorHAnsi" w:cstheme="minorHAnsi"/>
          <w:i w:val="0"/>
          <w:iCs w:val="0"/>
          <w:lang w:val="ru-RU"/>
        </w:rPr>
        <w:t>го образования</w:t>
      </w:r>
      <w:r w:rsidRPr="001D3E26">
        <w:rPr>
          <w:rStyle w:val="ab"/>
          <w:rFonts w:asciiTheme="minorHAnsi" w:hAnsiTheme="minorHAnsi" w:cstheme="minorHAnsi"/>
          <w:i w:val="0"/>
          <w:iCs w:val="0"/>
        </w:rPr>
        <w:t>. В общеобразовательных организациях обучается 7281 человек, в дошкольных организациях района воспитывается 3691 ребенок, в том числе в сельских поселениях – 1416 детей. Обеспеченность дошкольным образованием детей от 3 до 7 лет составляет 100,0%.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</w:rPr>
        <w:t>6.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4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10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. 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рамках реализации муниципальной программы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"Развитие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культуры, физической культуры, спорта и молодежной политики в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Елизовском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муниципальном районе на 2014-2018 годы"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проведены текущие ремонты учреждений культуры и спорта, приобретен мобильный сценический комплекс.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 xml:space="preserve"> Н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>ародные коллективы ежегодно принимают участие в международных конкурсах и фестивалях.</w:t>
      </w:r>
    </w:p>
    <w:p w:rsidR="001D3E26" w:rsidRPr="001D3E26" w:rsidRDefault="001D3E26" w:rsidP="001D3E26">
      <w:pPr>
        <w:pStyle w:val="ae"/>
        <w:spacing w:before="0"/>
        <w:ind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lastRenderedPageBreak/>
        <w:t>На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территории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Елизовского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муниципального района осуществляет деятельность 20 общественных молодежных организаций. </w:t>
      </w:r>
      <w:r w:rsidRPr="001D3E26">
        <w:rPr>
          <w:rFonts w:asciiTheme="minorHAnsi" w:hAnsiTheme="minorHAnsi" w:cstheme="minorHAnsi"/>
          <w:caps w:val="0"/>
          <w:sz w:val="22"/>
          <w:szCs w:val="22"/>
          <w:lang w:val="ru-RU"/>
        </w:rPr>
        <w:t>В</w:t>
      </w:r>
      <w:r w:rsidRPr="001D3E26">
        <w:rPr>
          <w:rFonts w:asciiTheme="minorHAnsi" w:hAnsiTheme="minorHAnsi" w:cstheme="minorHAnsi"/>
          <w:caps w:val="0"/>
          <w:sz w:val="22"/>
          <w:szCs w:val="22"/>
        </w:rPr>
        <w:t xml:space="preserve"> районе развивается 38 видов спорта.</w:t>
      </w:r>
      <w:r w:rsidRPr="001D3E26">
        <w:rPr>
          <w:rFonts w:asciiTheme="minorHAnsi" w:hAnsiTheme="minorHAnsi" w:cstheme="minorHAnsi"/>
          <w:sz w:val="22"/>
          <w:szCs w:val="22"/>
        </w:rPr>
        <w:t xml:space="preserve"> </w:t>
      </w:r>
      <w:r w:rsidRPr="001D3E2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1D3E26" w:rsidRPr="001D3E26" w:rsidRDefault="001D3E26" w:rsidP="001D3E26">
      <w:pPr>
        <w:tabs>
          <w:tab w:val="left" w:pos="4728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6.4.11. По состоянию на 01.01.2016 численность населения Елизовского муниципального района составила 63,7 тыс. человек, увеличившись с начала года на 140 человек, при этом естественный прирост населения составил 22 человека, миграционный прирост – 118 человек.</w:t>
      </w:r>
    </w:p>
    <w:p w:rsidR="001D3E26" w:rsidRPr="001D3E26" w:rsidRDefault="001D3E26" w:rsidP="001D3E2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>Общий миграционный оборот (сумма прибытий и выбытий) за 2015 год снизился на 2,2% (5212 человек против 5329 человек в 2014 году). В район прибыло 2665 человек, убыло – 2547 человек.</w:t>
      </w:r>
    </w:p>
    <w:p w:rsidR="001D3E26" w:rsidRPr="001D3E26" w:rsidRDefault="001D3E26" w:rsidP="001D3E26">
      <w:pPr>
        <w:tabs>
          <w:tab w:val="left" w:pos="725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на территории района в 2015 году составил 1,3% от численности трудоспособного населения.</w:t>
      </w:r>
    </w:p>
    <w:p w:rsidR="001D3E26" w:rsidRDefault="001D3E2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1D3E26">
        <w:rPr>
          <w:rFonts w:asciiTheme="minorHAnsi" w:hAnsiTheme="minorHAnsi" w:cstheme="minorHAnsi"/>
          <w:sz w:val="22"/>
          <w:szCs w:val="22"/>
        </w:rPr>
        <w:t xml:space="preserve">По состоянию на 01.07.2016 на учете в органах службы занятости по Елизовскому муниципальному району  состояло 714 человек, обратившихся в целях поиска работы, из них незанятых трудовой деятельностью – 597 человек (83,6% от обратившихся), признано безработными 478 человек (80,1% от незанятых), 297 безработных граждан получают пособие по безработице (62,1%). </w:t>
      </w:r>
      <w:r w:rsidRPr="001D3E26">
        <w:rPr>
          <w:rFonts w:asciiTheme="minorHAnsi" w:hAnsiTheme="minorHAnsi" w:cstheme="minorHAnsi"/>
          <w:bCs/>
          <w:sz w:val="22"/>
          <w:szCs w:val="22"/>
        </w:rPr>
        <w:t>Уровень официально зарегистрированной безработицы составил 1,2% от численности трудоспособного населения.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7.1. В Подпрограмме принимают участие следующие работодатели: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1) работодатель 1: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"Морской Стандарт-Бункер"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35 чел., в том числе: капитан – 5 чел., старший помощник капитана – 2 чел., механик – 5 чел., инженер по промышленной безопасности и охране труда – 1 чел., машинист насосных установок – 6 чел., технолог – 1 чел., лаборант – 1 чел., сливщик-наливщик – 6 чел., оператор теплового пункта – 6 чел., инженер КИПиА – 2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том числе оценка квалификации;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медицинских осмотров)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ab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2) работодатель 2: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АО "Аметистовое"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10 чел., в том числе: инженерно-технические работники в сфере горнодобывающей промышленности – 5 чел., водитель – 1 чел., горнорабочий – 4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Меры социальной поддержки, предоставляемые работодателем за счет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2)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расходы по приобретению специальной одежды, специальной обуви и других средств индивидуальной защиты;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lastRenderedPageBreak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3) работодатель 3: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"АПК "Корякский"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2019 год – 7 чел. (зоотехник, машинист экскаватора, электромонтер по ремонту и обслуживанию электрооборудования, газоэлектросварщик, водители) 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4) работодатель 4: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УМП ОПХ "Заречное"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6 чел. (главный ветеринарный врач, ветеринарный врач, техник-осеменатор, мастер-наладчик автотракторной техники, инженер-механик, ведущий агроном)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иные меры поддержки работника, включая компенсации и иные выплаты (прохождение медицинской комиссии)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5) работодатель 5: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"Легионер-Авто"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46.71 – Торговля оптовая твердым, жидким и газообразным топливом и подобными продуктами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5 чел. (специалисты по ремонту и диагностике компьютерных систем автомобилей)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иные меры поддержки работника, включая компенсации и иные выплаты (проезд в отпуск)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6) работодатель 6: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"Агротек"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01.46 – Разведение свиней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4 чел., в том числе: оператор свиноводческих комплексов и механизированных ферм – 2 чел., ветеринарный врач – 1 чел., инженер КИПиА – 1 чел.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9F0BCF" w:rsidRPr="009F0BCF" w:rsidRDefault="009F0BCF" w:rsidP="009F0BCF">
      <w:pPr>
        <w:autoSpaceDE w:val="0"/>
        <w:autoSpaceDN w:val="0"/>
        <w:adjustRightInd w:val="0"/>
        <w:ind w:firstLine="709"/>
        <w:jc w:val="right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7) работодатель 7: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ООО "Юсас-Строй"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41.2 – строительство жилых и нежилых зданий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4 чел. (слесари-сантехники)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8) работодатель 8: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ПАО "Камчатскэнерго"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3 чел. (главный инженер проекта, инженер-сметчик, инженер-конструктор)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Меры социальной поддержки, предоставляемые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2) оплата доставки багажа работника и членов его семьи;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9F0BCF">
      <w:pPr>
        <w:pStyle w:val="ConsPlusNormal"/>
        <w:jc w:val="right"/>
        <w:rPr>
          <w:szCs w:val="22"/>
        </w:rPr>
      </w:pPr>
      <w:r w:rsidRPr="009F0BCF">
        <w:rPr>
          <w:szCs w:val="22"/>
        </w:rPr>
        <w:lastRenderedPageBreak/>
        <w:t>;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9) работодатель 9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80"/>
      </w:tblGrid>
      <w:tr w:rsidR="009F0BCF" w:rsidRPr="009F0BCF" w:rsidTr="009F0BCF">
        <w:trPr>
          <w:trHeight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ЗАО "Мясокомбинат Елизовский"</w:t>
            </w: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ОКВЭД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9F0BCF" w:rsidRPr="009F0BCF" w:rsidTr="009F0BCF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1 чел. (обвальщик мяса)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 оплата доставки багажа работника и членов его семьи;</w:t>
            </w:r>
          </w:p>
          <w:p w:rsidR="009F0BCF" w:rsidRPr="009F0BCF" w:rsidRDefault="009F0BCF" w:rsidP="009F0B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 расходы (единовременные) работнику на обустройство;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  компенсация затрат, связанных с предоставлением работнику, а также членам его семьи жилья</w:t>
            </w:r>
          </w:p>
        </w:tc>
      </w:tr>
    </w:tbl>
    <w:p w:rsidR="009F0BCF" w:rsidRPr="009F0BCF" w:rsidRDefault="009F0BCF" w:rsidP="001D3E26">
      <w:pPr>
        <w:rPr>
          <w:rFonts w:ascii="Calibri" w:hAnsi="Calibri" w:cs="Calibri"/>
          <w:bCs/>
          <w:sz w:val="22"/>
          <w:szCs w:val="22"/>
        </w:rPr>
      </w:pPr>
    </w:p>
    <w:p w:rsidR="005C3DF7" w:rsidRPr="009F0BCF" w:rsidRDefault="005C3DF7" w:rsidP="001D3E26">
      <w:pPr>
        <w:rPr>
          <w:rFonts w:ascii="Calibri" w:hAnsi="Calibri" w:cs="Calibri"/>
          <w:bCs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"Комплексная ресоциализация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обеспечение их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8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8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эффективной комплексной ресоциализации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инвалидов вследствие военной травмы и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9F0BC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средств краевого бюджета составляет 1 374,57900 тыс. рублей, из них по годам: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2019 год – 150,00000 тыс. рублей;</w:t>
            </w:r>
          </w:p>
          <w:p w:rsidR="009F0BCF" w:rsidRPr="009F0BCF" w:rsidRDefault="009F0BCF" w:rsidP="009F0B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9F0BCF">
              <w:rPr>
                <w:rFonts w:asciiTheme="minorHAnsi" w:hAnsiTheme="minorHAnsi" w:cstheme="minorHAnsi"/>
                <w:szCs w:val="22"/>
              </w:rPr>
              <w:t>2020 год – 150,00000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2021 год – 150,00000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2022 год – 178,16200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2023 год – 185,29000 тыс. рублей;</w:t>
            </w:r>
          </w:p>
          <w:p w:rsidR="009F0BCF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9F0BCF" w:rsidRDefault="009F0BCF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9F0BC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</w:t>
      </w:r>
      <w:r w:rsidRPr="00FB7EAE">
        <w:rPr>
          <w:rFonts w:asciiTheme="minorHAnsi" w:hAnsiTheme="minorHAnsi" w:cstheme="minorHAnsi"/>
          <w:sz w:val="22"/>
          <w:szCs w:val="22"/>
        </w:rPr>
        <w:lastRenderedPageBreak/>
        <w:t>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1.4. Задача комплексной ресоциализации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2.1. Цель Подпрограммы 7 – обеспечение необходимых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1) основное мероприятие 7.1 "Разработка комплексного подхода к процессу ресоциализации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ресоциализацию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 xml:space="preserve"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</w:t>
      </w:r>
      <w:proofErr w:type="gramStart"/>
      <w:r w:rsidRPr="00FB7EAE">
        <w:rPr>
          <w:rFonts w:asciiTheme="minorHAnsi" w:hAnsiTheme="minorHAnsi" w:cstheme="minorHAnsi"/>
          <w:sz w:val="22"/>
          <w:szCs w:val="22"/>
        </w:rPr>
        <w:t>образование,  составит</w:t>
      </w:r>
      <w:proofErr w:type="gramEnd"/>
      <w:r w:rsidRPr="00FB7EAE">
        <w:rPr>
          <w:rFonts w:asciiTheme="minorHAnsi" w:hAnsiTheme="minorHAnsi" w:cstheme="minorHAnsi"/>
          <w:sz w:val="22"/>
          <w:szCs w:val="22"/>
        </w:rPr>
        <w:t xml:space="preserve">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9 799,44050 тыс. рублей, из них по годам: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2017 год – 20,00000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год – 1 765,50550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2019 год – 827,00000 тыс. рублей;</w:t>
            </w:r>
          </w:p>
          <w:p w:rsidR="009F0BCF" w:rsidRPr="009F0BCF" w:rsidRDefault="009F0BCF" w:rsidP="009F0BCF">
            <w:pPr>
              <w:pStyle w:val="ConsPlusNormal"/>
              <w:rPr>
                <w:szCs w:val="22"/>
              </w:rPr>
            </w:pPr>
            <w:r w:rsidRPr="009F0BCF">
              <w:rPr>
                <w:szCs w:val="22"/>
              </w:rPr>
              <w:t>2020 год – 1 001,50000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2021 год – 931,95000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2022 год – 1 237,14400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2023 год – 1 286,62700 тыс. рублей;</w:t>
            </w: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2024 год – 1 338,09500 тыс. рублей;</w:t>
            </w:r>
          </w:p>
          <w:p w:rsidR="005D1A4B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2025 год – 1 391,61900 тыс. рублей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11) доля выпускников из числа инвалидов молодого возраста, продолживших дальнейшее обучение после получения высшего образования, составит с 2018 по 2025 годы не менее 2,0% ежегодно;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Снято с регистрационного учета в связи с трудоустройством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lastRenderedPageBreak/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 xml:space="preserve">, средств массовой информации, многофункциональных центров предоставления государственных и </w:t>
      </w:r>
      <w:r w:rsidRPr="00684F8F">
        <w:rPr>
          <w:rFonts w:asciiTheme="minorHAnsi" w:hAnsiTheme="minorHAnsi" w:cstheme="minorHAnsi"/>
          <w:sz w:val="22"/>
          <w:szCs w:val="22"/>
        </w:rPr>
        <w:lastRenderedPageBreak/>
        <w:t>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и молодежной политики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 xml:space="preserve"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</w:t>
      </w:r>
      <w:r w:rsidRPr="007A46EB">
        <w:rPr>
          <w:rFonts w:asciiTheme="minorHAnsi" w:hAnsiTheme="minorHAnsi" w:cstheme="minorHAnsi"/>
          <w:sz w:val="22"/>
          <w:szCs w:val="22"/>
        </w:rPr>
        <w:lastRenderedPageBreak/>
        <w:t>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самозанятости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л) проведение мониторинга трудоустройства и закрепляемости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lastRenderedPageBreak/>
        <w:t>10) проведение мониторинга реализации Подпрограммы 8 в сроки, установленные приказом Министерства труда и социальной защиты Российской Федерации от 30.12.2016 № 852 "Об организации мониторинга реализации в субъектах Российской Федерации программ сопровождения инвалидов молодого возраста при трудоустройстве";</w:t>
      </w:r>
    </w:p>
    <w:p w:rsidR="00207648" w:rsidRPr="005D1A4B" w:rsidRDefault="00207648" w:rsidP="00207648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207648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2076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207648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"Абилимпикс"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>
        <w:rPr>
          <w:rFonts w:asciiTheme="minorHAnsi" w:hAnsiTheme="minorHAnsi" w:cstheme="minorHAnsi"/>
          <w:sz w:val="22"/>
          <w:szCs w:val="22"/>
        </w:rPr>
        <w:t>5</w:t>
      </w:r>
      <w:r w:rsidRPr="005D1A4B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проведение мониторинга трудоустройства и закрепляемости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11) доля выпускников из числа инвалидов молодого возраста, продолживших дальнейшее обучение после получения высшего образования, составит с 2018 по 2025 годы не менее 2,0% ежегодно;</w:t>
      </w:r>
    </w:p>
    <w:p w:rsidR="00221ECA" w:rsidRPr="00207648" w:rsidRDefault="00207648" w:rsidP="00207648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Подпрограмма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"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>Организация профессионального обучения и дополнительного профессионального образования граждан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"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  <w:r w:rsidRPr="00207648">
        <w:rPr>
          <w:rFonts w:ascii="Calibri" w:hAnsi="Calibri" w:cs="Calibri"/>
          <w:sz w:val="22"/>
          <w:szCs w:val="22"/>
        </w:rPr>
        <w:t>(далее - Подпрограмма 9)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Министерство образования и молодежной политики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</w:t>
            </w: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1) определение потребности граждан предпенсионного возраста в 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2) формирование перечня наиболее востребованных профессий, специальностей (навыков, компетенций) на рынке труда Камчатского края для обучения граждан предпенсионного возраста;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граждан предпенсионного возраста;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4) организация профессионального обучения и дополнительного профессионального образования граждан предпенсионного возраста, состоящих в трудовых 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>5) содействие гражданам предпенсионного возраста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207648">
              <w:rPr>
                <w:rFonts w:cs="Calibri"/>
              </w:rPr>
              <w:t>1) численность граждан предпенсионного возраста, проинформированных о положении на рынке труда в Камчатском крае;</w:t>
            </w:r>
          </w:p>
          <w:p w:rsidR="00207648" w:rsidRPr="00207648" w:rsidRDefault="00207648" w:rsidP="00C0192E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207648">
              <w:rPr>
                <w:rFonts w:cs="Calibri"/>
              </w:rPr>
              <w:t>2) численность граждан предпенсионного возраста, прошедших профессиональное обучение и (или) получивших дополнительное профессиональное образование;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207648">
              <w:rPr>
                <w:rFonts w:cs="Calibri"/>
              </w:rPr>
              <w:t>3) доля сохранивших занятость работников предпенсионного возраста,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74 018,40000 </w:t>
            </w: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федерального бюджета (по согласованию) – 35 158,80000 тыс. рублей, из них по годам: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2020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2021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2022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2023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2024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35 158,80000 тыс. рублей, из них по годам: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2019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2021 год – 0,00000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2022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краевого бюджета – планируемый объем обязательств – 3 700,80000 тыс. рублей, из них по годам:      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2019 год – 616,80000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2020 год – 616,80000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2021 год – 616,80000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2022 год – 616,80000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2023 год – 616,80000 тыс. рублей;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2024 год – 616,80000 тыс. рублей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1) численность граждан предпенсионного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2) численность граждан предпенсионного возраста, прошедших профессиональное обучение и (или) получивших дополнительное профессиональное образование, составит с 2019 по 2024 годы не менее 139 человек ежегодно; </w:t>
            </w:r>
          </w:p>
          <w:p w:rsidR="00207648" w:rsidRPr="00207648" w:rsidRDefault="00207648" w:rsidP="00207648">
            <w:pPr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>3) 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доля сохранивших занятость работников предпенсионного возраста,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составит с 2019 по 2024 годы не менее 85,0% ежегодно.</w:t>
            </w:r>
            <w:r w:rsidRPr="002076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предпенсионного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>1.2. В связи с повышением пенсионного возраста возникла необходимость принятия дополнительных мер по обеспечению занятости граждан предпенсионного возраста.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граждан предпенсионного возраста. Необходимо обеспечить работникам предпенсионного возраста 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работникам предпенсионного возраста возможность полноценной самореализации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</w:t>
      </w:r>
      <w:r w:rsidRPr="00207648">
        <w:rPr>
          <w:rFonts w:ascii="Calibri" w:hAnsi="Calibri" w:cs="Calibri"/>
          <w:bCs/>
          <w:sz w:val="22"/>
          <w:szCs w:val="22"/>
        </w:rPr>
        <w:lastRenderedPageBreak/>
        <w:t>ценности работников предпенсионного возраста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граждан предпенсионного возраста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>1.5. Реализация мер по повышению конкурентоспособности граждан предпенсионного возраста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2.1. Цель Подпрограммы 9 - 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 определение потребности граждан предпенсионного возраста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2) формирование перечня наиболее востребованных профессий, специальностей (навыков, компетенций) на рынке труда Камчатского края для обучения граждан предпенсионного возраста;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3) составление перечня профессиональных образовательных организаций для профессионального обучения и дополнительного профессионального образования граждан предпенсионного возраста;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4) организация профессионального обучения и дополнительного профессионального образования граждан предпенсионного возраста,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гражданам предпенсионного возраста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 основное мероприятие 9.1 "Организация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образования";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2) основное мероприятие 9.2 "Организация профессионального обучения и дополнительного профессионального образования граждан предпенсионного возраста".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2.6. Корректировка Подпрограммы 9 проводится ежегодно с учетом изменения 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иных межбюджетных трансфертов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>рганизации профессионального обучения и дополнительного профессионального образования граждан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а 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3.3. Ресурсное обеспечение Подпрограммы 9 по источникам финансирования представлено в </w:t>
      </w:r>
      <w:r w:rsidRPr="00207648">
        <w:rPr>
          <w:rFonts w:ascii="Calibri" w:hAnsi="Calibri" w:cs="Calibri"/>
          <w:sz w:val="22"/>
          <w:szCs w:val="22"/>
        </w:rPr>
        <w:lastRenderedPageBreak/>
        <w:t>приложении 5 к Программе.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4.1. Основные показатели эффективности и результативности Подпрограммы 9 предусматривают достижение следующих показателей: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1) численность граждан предпенсионного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численность граждан предпенсионного возраста, прошедших профессиональное обучение и (или) получивших дополнительное профессиональное образование, составит с 2019 по 2024 годы не менее 139 человек ежегодно;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color w:val="000000"/>
          <w:sz w:val="22"/>
          <w:szCs w:val="22"/>
        </w:rPr>
      </w:pPr>
      <w:r w:rsidRPr="00207648">
        <w:rPr>
          <w:rFonts w:ascii="Calibri" w:hAnsi="Calibri" w:cs="Calibri"/>
          <w:color w:val="000000"/>
          <w:sz w:val="22"/>
          <w:szCs w:val="22"/>
        </w:rPr>
        <w:t>3) </w:t>
      </w:r>
      <w:r w:rsidRPr="00207648">
        <w:rPr>
          <w:rFonts w:ascii="Calibri" w:hAnsi="Calibri" w:cs="Calibri"/>
          <w:sz w:val="22"/>
          <w:szCs w:val="22"/>
        </w:rPr>
        <w:t>доля сохранивших занятость работников предпенсионного возраста,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</w:r>
      <w:r w:rsidRPr="0020764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07648">
        <w:rPr>
          <w:rFonts w:ascii="Calibri" w:hAnsi="Calibri" w:cs="Calibri"/>
          <w:sz w:val="22"/>
          <w:szCs w:val="22"/>
        </w:rPr>
        <w:t>составит с 2019 по 2024 годы не менее 85,0% ежегодно</w:t>
      </w:r>
      <w:r w:rsidRPr="0020764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5.2. Существует риск нереализации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 предпенсионного возраста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20764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</w:t>
      </w:r>
      <w:r w:rsidRPr="005C3DF7">
        <w:rPr>
          <w:rFonts w:asciiTheme="minorHAnsi" w:hAnsiTheme="minorHAnsi" w:cstheme="minorHAnsi"/>
          <w:szCs w:val="22"/>
        </w:rPr>
        <w:lastRenderedPageBreak/>
        <w:t>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Pr="000926BD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>содействие занятости граждан предпенсионного возраста,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  <w:r w:rsidR="005C3DF7" w:rsidRPr="000926BD">
        <w:rPr>
          <w:szCs w:val="22"/>
        </w:rPr>
        <w:t xml:space="preserve">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>ственную деятельность 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>7) повышение конкурентоспособности на рынке труда граждан предпенсионного возраста.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В рамках мероприятий активной политики занятости населения гражданам и работодателям, обратившимся в органы службы занятости, оказываются следующие государственные услуги: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lastRenderedPageBreak/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н) 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о) содействие безработным гражданам в переезде и </w:t>
      </w:r>
      <w:proofErr w:type="gramStart"/>
      <w:r w:rsidRPr="005C3DF7">
        <w:rPr>
          <w:rFonts w:asciiTheme="minorHAnsi" w:hAnsiTheme="minorHAnsi" w:cstheme="minorHAnsi"/>
          <w:szCs w:val="22"/>
        </w:rPr>
        <w:t>безработным гражданам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9" w:name="P4060"/>
      <w:bookmarkEnd w:id="9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самозанятости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100 процентного охвата государственной услугой по профессиональной ориентации инвалидов, обращающихся в  Центры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Информирование работодателей о требованиях по исполнению законодательства о  квотировании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Участие специалистов Центров занятости населения в выездных мероприятиях учреждений медико-социальной экспертизы в районы Камчатского края  в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0926BD" w:rsidRDefault="000926BD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6B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края;</w:t>
            </w:r>
          </w:p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C86B07">
          <w:pgSz w:w="16838" w:h="11905"/>
          <w:pgMar w:top="851" w:right="1134" w:bottom="851" w:left="1418" w:header="0" w:footer="0" w:gutter="0"/>
          <w:cols w:space="720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1.8.1. основное мероприятие 4.1. Освоение финансовых средств, направленных на оплату труда и дополнительных выплат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1.9. 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1.9.1. основное мероприятие 5.1. Опережающее профессиональное обучение работников организаций, находящихся под риском увольнения;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1.9.2. основное мероприятие 5.2. Возмещение работодателям, реализующим 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трудоустроенных выпускников профессиональных образовательных организаций;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1.9.3. основное мероприятие 5.3. Возмещение работодателям затрат на наставничество при трудоустройстве инвалидов.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 Подпрограмма 7 "Комплексная ресоциализация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основное мероприятие 7.1. Разработка комплексного подхода к процессу ресоциализации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ресоциализацию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1.10</w:t>
      </w:r>
      <w:r w:rsidRPr="000926BD">
        <w:rPr>
          <w:rFonts w:asciiTheme="minorHAnsi" w:hAnsiTheme="minorHAnsi" w:cstheme="minorHAnsi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Cs w:val="22"/>
        </w:rPr>
        <w:t>. Подпрограмма 9 "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Организация профессионального обучения и дополнительного профессионального образования граждан предпенсионного возраста":</w:t>
      </w:r>
    </w:p>
    <w:p w:rsidR="000926BD" w:rsidRPr="000926BD" w:rsidRDefault="000926BD" w:rsidP="000926BD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 w:val="22"/>
          <w:szCs w:val="22"/>
        </w:rPr>
        <w:t>.1. Основное мероприятие 9.1 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образования;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zCs w:val="22"/>
        </w:rPr>
        <w:t>1.10</w:t>
      </w:r>
      <w:r w:rsidRPr="000926BD">
        <w:rPr>
          <w:rFonts w:asciiTheme="minorHAnsi" w:hAnsiTheme="minorHAnsi" w:cstheme="minorHAnsi"/>
          <w:szCs w:val="22"/>
          <w:vertAlign w:val="superscript"/>
        </w:rPr>
        <w:t>3</w:t>
      </w:r>
      <w:r w:rsidRPr="000926BD">
        <w:rPr>
          <w:rFonts w:asciiTheme="minorHAnsi" w:hAnsiTheme="minorHAnsi" w:cstheme="minorHAnsi"/>
          <w:szCs w:val="22"/>
        </w:rPr>
        <w:t>.2. Основное мероприятие 9.2 Организация профессионального обучения и дополнительного профессионального образования граждан предпенсионного возраста.</w:t>
      </w:r>
    </w:p>
    <w:p w:rsidR="005D1A4B" w:rsidRPr="00AA6616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граждан предпенсионного возраста, </w:t>
      </w:r>
      <w:r w:rsidRPr="000926BD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lastRenderedPageBreak/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Default="00D15656" w:rsidP="00D15656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83" w:rsidRDefault="00FF6783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F6783" w:rsidRDefault="00FF6783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F6783" w:rsidRDefault="00FF6783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F6783" w:rsidRDefault="00FF6783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F6783" w:rsidRDefault="00FF6783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F6783" w:rsidRDefault="00FF6783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F6783" w:rsidRDefault="00FF6783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F6783" w:rsidRDefault="00FF6783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F6783" w:rsidRDefault="00FF6783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F6783" w:rsidRDefault="00FF6783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lastRenderedPageBreak/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0" w:name="P4066"/>
      <w:bookmarkEnd w:id="10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1" w:name="P4582"/>
      <w:bookmarkEnd w:id="11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</w:tr>
      <w:tr w:rsidR="00A3235D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A3235D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A3235D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A3235D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A3235D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A3235D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A3235D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A3235D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 на конец 2016 года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выше      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111A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Коэффициент напряженности на рынке труда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 на вакансию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выше 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риском увольнения, направленных на опережающее профессиональное обучение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               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выпускников профессиональных образовательных организаций, за трудоустройство которых работодателям возмещаются расходы на частичную оплату труда: в течение срока, не превышающего 6 месяцев, – при условии принятия на постоянную работу и в течение срока, не превышающего 3 месяцев, – при условии принятия на временную работу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               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 из числа инвалидов, при трудоустройстве которых работодателям возмещаются затраты на наставничество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752AD9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8 "Сопровождение инвалидов молодого возраста при трудоустройстве в рамках мероприятий по содействию занятости населения"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C0192E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C0192E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C019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Численность граждан предпенсионного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</w:t>
            </w:r>
          </w:p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Численность граждан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Доля сохранивших занятость работников предпенсионного возраста,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92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Default="00F8177D" w:rsidP="003A674E">
      <w:pPr>
        <w:rPr>
          <w:sz w:val="22"/>
          <w:szCs w:val="22"/>
        </w:rPr>
      </w:pPr>
    </w:p>
    <w:p w:rsidR="00C0192E" w:rsidRDefault="00C0192E" w:rsidP="003A674E">
      <w:pPr>
        <w:rPr>
          <w:sz w:val="22"/>
          <w:szCs w:val="22"/>
        </w:rPr>
      </w:pPr>
    </w:p>
    <w:p w:rsidR="00C0192E" w:rsidRDefault="00C0192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900516" w:rsidTr="00F8177D">
        <w:tc>
          <w:tcPr>
            <w:tcW w:w="4188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2" w:name="P4588"/>
      <w:bookmarkEnd w:id="12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900516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нереализации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C0192E">
        <w:trPr>
          <w:trHeight w:val="184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развития 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2.2 "Обеспечение принципа приоритетного использования 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2.</w:t>
            </w:r>
            <w:r w:rsidR="00935078"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2.3 "Повышение эффективности привлечения и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Снижение численности незаконных трудовых мигрантов в Камчатском крае; повышение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Увеличение численности нелегальных мигрантов;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Непосредственно влияет на миграционную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привлекательности Камчатского края с целью переселения, рост этноконфессиональных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3.1 – 3.6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4.1 "Освоение финансовых средств, направленных на оплату труда и       дополнительных выплат и компенсаций с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961E67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5 "Дополнительные мероприятия в сфере занятости населения, направленные на снижение напряженности на рынке труда</w:t>
            </w:r>
          </w:p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Камчатского края, на 2016 год"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5.1 «Опережающее профессиональное обучение работников организаций, находящихся под риском увольнения»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находящихся под риском увольнения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 – 4.3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5.2 «Возмещение работодателям, реализующим 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трудоустроенных выпускников профессиональных образовательных организаций»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4.1, 4.2, 4.4 таблицы приложения 1 к Программе                                                            </w:t>
            </w:r>
          </w:p>
        </w:tc>
      </w:tr>
      <w:tr w:rsidR="00900516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5.3 «Возмещение работодателям затрат на наставничество при трудоустройстве инвалидов»</w:t>
            </w:r>
          </w:p>
        </w:tc>
        <w:tc>
          <w:tcPr>
            <w:tcW w:w="1701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испытывающих трудности в поиске работы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4.1, 4.2, 4.5 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421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Подпрограммы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"Содействие работодателям в привлечении трудовых 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8E2722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ресоциализация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Разработка комплексного подхода к процессу ресоциализации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Министерство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социального развития и труда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условий для ресоциализации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ресоциализации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Повышение уровня информированности граждан, уволенных с 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lastRenderedPageBreak/>
              <w:t>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6.1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C0192E">
        <w:trPr>
          <w:trHeight w:val="381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C0192E" w:rsidRPr="00383E3B" w:rsidTr="00393F5C">
        <w:trPr>
          <w:trHeight w:val="141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C0192E" w:rsidRPr="00383E3B" w:rsidTr="00FF6783">
        <w:trPr>
          <w:trHeight w:val="1829"/>
        </w:trPr>
        <w:tc>
          <w:tcPr>
            <w:tcW w:w="582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Показатели 7.2 - 7.12 таблицы приложения 1 к Программе</w:t>
            </w:r>
          </w:p>
        </w:tc>
      </w:tr>
      <w:tr w:rsidR="00FF6783" w:rsidRPr="00383E3B" w:rsidTr="00FF6783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FF6783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9.1 "Организация и проведение информационной кампании по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освещению мероприятий по содействию занятости граждан предпенсионного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граждан предпенсионного возраста,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Рост безработицы и социальной напряженности в обществе, снижение возможностей для трудоустройства граждан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Показатель 8.1 таблицы приложения 1 к Программе</w:t>
            </w:r>
          </w:p>
        </w:tc>
      </w:tr>
      <w:tr w:rsidR="00FF6783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9.2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"Организация профессионального обучения и дополнительного профессионального образования граждан предпенсионного возраста"</w:t>
            </w:r>
          </w:p>
        </w:tc>
        <w:tc>
          <w:tcPr>
            <w:tcW w:w="170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FF67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граждан предпенсионного возраста, </w:t>
            </w: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содействие их трудоустройству</w:t>
            </w:r>
          </w:p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FF6783" w:rsidRPr="00FF6783" w:rsidRDefault="00FF6783" w:rsidP="00FF6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Показатели 8.2 -8.3 таблицы приложения 1 к Программе</w:t>
            </w:r>
          </w:p>
        </w:tc>
      </w:tr>
    </w:tbl>
    <w:p w:rsidR="00383E3B" w:rsidRDefault="00383E3B">
      <w:pPr>
        <w:pStyle w:val="ConsPlusNormal"/>
        <w:jc w:val="right"/>
      </w:pPr>
    </w:p>
    <w:p w:rsidR="00FF6783" w:rsidRDefault="00FF6783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B97093" w:rsidRPr="00C60538" w:rsidRDefault="00433DEB">
      <w:pPr>
        <w:pStyle w:val="ConsPlusNormal"/>
        <w:jc w:val="both"/>
        <w:rPr>
          <w:szCs w:val="22"/>
        </w:rPr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F6783" w:rsidRDefault="00FF6783" w:rsidP="00F8177D">
            <w:pPr>
              <w:pStyle w:val="ConsPlusNormal"/>
            </w:pPr>
          </w:p>
          <w:p w:rsidR="00FF6783" w:rsidRDefault="00FF6783" w:rsidP="00F8177D">
            <w:pPr>
              <w:pStyle w:val="ConsPlusNormal"/>
            </w:pPr>
          </w:p>
          <w:p w:rsidR="00F8177D" w:rsidRDefault="00F8177D" w:rsidP="00F8177D">
            <w:pPr>
              <w:pStyle w:val="ConsPlusNormal"/>
            </w:pPr>
            <w:r>
              <w:lastRenderedPageBreak/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10"/>
        <w:gridCol w:w="3311"/>
        <w:gridCol w:w="8"/>
        <w:gridCol w:w="6930"/>
        <w:gridCol w:w="1985"/>
        <w:gridCol w:w="2125"/>
      </w:tblGrid>
      <w:tr w:rsidR="00A3235D" w:rsidRPr="00A3235D" w:rsidTr="00D8270F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п/п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A3235D" w:rsidRPr="00A3235D" w:rsidTr="00D8270F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235D" w:rsidRPr="00A3235D" w:rsidTr="00D8270F">
        <w:trPr>
          <w:trHeight w:val="41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A3235D" w:rsidTr="00D8270F">
        <w:trPr>
          <w:trHeight w:val="279"/>
        </w:trPr>
        <w:tc>
          <w:tcPr>
            <w:tcW w:w="14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A3235D" w:rsidRPr="00A3235D" w:rsidTr="00D8270F">
        <w:trPr>
          <w:trHeight w:val="288"/>
        </w:trPr>
        <w:tc>
          <w:tcPr>
            <w:tcW w:w="14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35D" w:rsidRPr="00A3235D" w:rsidRDefault="00A3235D" w:rsidP="00D8270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35D" w:rsidRPr="00A3235D" w:rsidTr="00D8270F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A3235D" w:rsidRPr="00A3235D" w:rsidTr="00D8270F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2014-2025 г. г. (при необходимости)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2014-2015 г. г.</w:t>
            </w:r>
          </w:p>
        </w:tc>
      </w:tr>
      <w:tr w:rsidR="00A3235D" w:rsidRPr="00A3235D" w:rsidTr="00D8270F">
        <w:trPr>
          <w:trHeight w:val="50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A3235D" w:rsidRPr="00A3235D" w:rsidTr="00D8270F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2015-2025 г. г. (при необходимости)</w:t>
            </w:r>
          </w:p>
        </w:tc>
      </w:tr>
      <w:tr w:rsidR="00A3235D" w:rsidRPr="00A3235D" w:rsidTr="00D8270F">
        <w:trPr>
          <w:trHeight w:val="683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A3235D" w:rsidRPr="00A3235D" w:rsidTr="00D8270F">
        <w:trPr>
          <w:trHeight w:val="39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A3235D" w:rsidTr="00D8270F">
        <w:trPr>
          <w:trHeight w:val="43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A3235D" w:rsidRPr="00A3235D" w:rsidTr="00D8270F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A3235D" w:rsidRPr="00A3235D" w:rsidTr="00D8270F">
        <w:trPr>
          <w:trHeight w:val="71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A3235D" w:rsidRPr="00A3235D" w:rsidTr="00D8270F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A3235D" w:rsidRPr="00A3235D" w:rsidTr="00D8270F">
        <w:trPr>
          <w:trHeight w:val="38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A3235D" w:rsidRPr="00A3235D" w:rsidTr="00D8270F">
        <w:trPr>
          <w:trHeight w:val="40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A3235D" w:rsidRPr="00A3235D" w:rsidTr="00D8270F">
        <w:trPr>
          <w:trHeight w:val="15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F8177D" w:rsidRDefault="00F8177D" w:rsidP="00F8177D">
      <w:pPr>
        <w:jc w:val="center"/>
        <w:rPr>
          <w:sz w:val="28"/>
          <w:szCs w:val="28"/>
        </w:rPr>
      </w:pPr>
    </w:p>
    <w:p w:rsidR="00F8177D" w:rsidRDefault="00F8177D" w:rsidP="00F8177D">
      <w:pPr>
        <w:jc w:val="center"/>
        <w:rPr>
          <w:sz w:val="28"/>
          <w:szCs w:val="28"/>
        </w:rPr>
      </w:pPr>
    </w:p>
    <w:p w:rsidR="00B97093" w:rsidRDefault="00B97093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A64662" w:rsidTr="00A64662">
        <w:tc>
          <w:tcPr>
            <w:tcW w:w="4188" w:type="dxa"/>
          </w:tcPr>
          <w:p w:rsidR="00A3235D" w:rsidRDefault="00A3235D" w:rsidP="00A64662">
            <w:pPr>
              <w:pStyle w:val="ConsPlusNormal"/>
            </w:pPr>
            <w:bookmarkStart w:id="13" w:name="P5002"/>
            <w:bookmarkEnd w:id="13"/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3235D" w:rsidRDefault="00A3235D" w:rsidP="00A64662">
            <w:pPr>
              <w:pStyle w:val="ConsPlusNormal"/>
            </w:pPr>
          </w:p>
          <w:p w:rsidR="00A64662" w:rsidRDefault="00A64662" w:rsidP="00A64662">
            <w:pPr>
              <w:pStyle w:val="ConsPlusNormal"/>
            </w:pPr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Pr="00A3235D" w:rsidRDefault="00A3235D">
      <w:pPr>
        <w:pStyle w:val="ConsPlusTitle"/>
        <w:jc w:val="center"/>
        <w:rPr>
          <w:b w:val="0"/>
        </w:rPr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</w:p>
    <w:p w:rsidR="00D834E1" w:rsidRPr="00A3235D" w:rsidRDefault="00A3235D">
      <w:pPr>
        <w:pStyle w:val="ConsPlusTitle"/>
        <w:jc w:val="center"/>
        <w:rPr>
          <w:b w:val="0"/>
        </w:rPr>
      </w:pP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 xml:space="preserve">амчатского края </w:t>
      </w:r>
    </w:p>
    <w:p w:rsidR="00B97093" w:rsidRDefault="00A3235D">
      <w:pPr>
        <w:pStyle w:val="ConsPlusTitle"/>
        <w:jc w:val="center"/>
      </w:pPr>
      <w:r w:rsidRPr="00A3235D">
        <w:rPr>
          <w:b w:val="0"/>
        </w:rPr>
        <w:t>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A06756">
        <w:trPr>
          <w:trHeight w:val="11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FF6783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6245590,25759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622822,25000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614018,63000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613909,30000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427593,14620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444217,81240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461507,50480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FF6783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6199980,65759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622205,45000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613401,83000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613292,50000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415256,74620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431881,41240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449171,10480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FF6783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1440848,25000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233224,30000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236535,70000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237016,40000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41908,80000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4746885,71170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388981,15000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376866,13000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376276,10000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415256,74620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431881,41240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449171,10480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467152,33530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4562386,21300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383981,15000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371366,13000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370776,10000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389740,41600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405344,42900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421572,64200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438449,93400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156390,27370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FF6783" w:rsidRPr="008629EF" w:rsidTr="00A06756">
        <w:trPr>
          <w:trHeight w:val="7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3700,80000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1  "Активная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5322683,29105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531961,48000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522957,16000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522890,09000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349427,33920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FF6783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1299605,40000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4023077,89105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329266,78000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316951,06000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316403,29000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349427,33920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FF6783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3838578,39235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324266,78000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311451,06000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310903,29000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323911,00900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336881,84700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364400,80000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156390,27370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807601,58860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42468,00000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29784,50000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28854,05000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93056,08220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96792,72340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104720,40130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619643,78990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37468,00000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24284,50000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23354,05000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67539,75200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70255,74000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76018,00000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156390,27370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25516,33020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FF6783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1296147,10000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1296147,10000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202694,70000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206006,10000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206486,80000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10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3216327,59245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286798,78000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287166,56000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287549,24000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256371,25700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FF6783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2  "Управление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3216327,59245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286798,78000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287166,56000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287549,24000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256371,25700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FF6783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FF6783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2039,31300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269,96700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280,76600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303,68000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3 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686933,62415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57747,37000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57773,57000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57800,86000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63222,14800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FF6783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оплату труда  и дополнительных выплат и компенсаций  с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686933,62415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57747,37000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57773,57000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57800,86000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63222,14800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FF6783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611326,29000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55454,31300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FF6783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611326,29000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53165,00000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55454,31300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FF6783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75607,33415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4582,37000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4608,57000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4635,86000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7767,83500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FF6783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5 "Дополнительные мероприятия в сфере занятости населения, направленные на снижение напряженности на рынке труда Камчатского края, на 2016 год"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75607,33415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4582,37000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4608,57000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4635,86000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7767,83500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FF6783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Опережающее профессиональное обучение работников организаций, находящихся под риском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Возмещение работодателям, реализующим программы развития организации (в том числе программы, направленные на импортозамещение, инновации, развитие персонала), расходов на частичную оплату труда  трудоустроенных  выпускников профессиональных образовательных организаций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1.5.3.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Возмещение работодателям затрат на наставничество при трудоустройстве инвалидов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129282,03389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122532,03389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98914,15000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11371,18800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Отбор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129282,03389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122532,03389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98914,15000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11371,18800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921,98600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FF6783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7 "Комплексная ресоциализация граждан, уволенных с военной службы, и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FF6783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процессу ресоциализации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FF6783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FF6783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1374,57900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178,16200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FF6783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инвалидов молодого возраста при трудоустройстве в рамках мероприятий по содействию занятости населения"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9799,44050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1001,50000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931,95000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1237,14400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FF6783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Повышение уровня информированности инвалидов молодого возраста, в том числе с использованием информационных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9799,44050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1001,50000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931,95000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1237,14400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FF6783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1741,70700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264,61800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FF6783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FF6783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Сопровождение инвалидов молодого возраста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1741,70700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264,61800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FF6783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8057,73350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677,00000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851,50000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781,95000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972,52600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FF6783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8629EF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6783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00048">
              <w:rPr>
                <w:rFonts w:asciiTheme="minorHAnsi" w:hAnsiTheme="minorHAnsi" w:cstheme="minorHAnsi"/>
                <w:sz w:val="14"/>
                <w:szCs w:val="14"/>
              </w:rPr>
              <w:t>Подпрограмма 9 "Организация профессионального обучения и дополнительного профессионального образования граждан предпенсионного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74018,40000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74018,40000</w:t>
            </w:r>
          </w:p>
        </w:tc>
      </w:tr>
      <w:tr w:rsidR="00D00048" w:rsidRPr="00FF6783" w:rsidTr="00FF6783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3 700,80000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3 700,80000</w:t>
            </w:r>
          </w:p>
        </w:tc>
      </w:tr>
      <w:tr w:rsidR="00D00048" w:rsidRPr="00FF6783" w:rsidTr="00FF6783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00048">
              <w:rPr>
                <w:rFonts w:asciiTheme="minorHAnsi" w:hAnsiTheme="minorHAnsi" w:cstheme="minorHAnsi"/>
                <w:sz w:val="14"/>
                <w:szCs w:val="14"/>
              </w:rPr>
              <w:t xml:space="preserve">Организация и проведение информационной кампании по освещению мероприятий по содействию занятости граждан предпенсионного возраста, в том числе по организации профессионального обучения и </w:t>
            </w:r>
            <w:r w:rsidRPr="00D0004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00048">
              <w:rPr>
                <w:rFonts w:asciiTheme="minorHAnsi" w:hAnsiTheme="minorHAnsi" w:cstheme="minorHAnsi"/>
                <w:sz w:val="14"/>
                <w:szCs w:val="14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74 018,40000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12 336,40000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74 018,40000</w:t>
            </w:r>
          </w:p>
        </w:tc>
      </w:tr>
      <w:tr w:rsidR="00D00048" w:rsidRPr="00FF6783" w:rsidTr="00FF6783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11 719,60000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35 158,80000</w:t>
            </w:r>
          </w:p>
        </w:tc>
      </w:tr>
      <w:tr w:rsidR="00D00048" w:rsidRPr="00FF6783" w:rsidTr="00FF6783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</w:tr>
      <w:tr w:rsidR="00D00048" w:rsidRPr="00FF6783" w:rsidTr="00FF6783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00048" w:rsidRPr="008629EF" w:rsidRDefault="00D00048" w:rsidP="00D000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3 700,80000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D00048" w:rsidRPr="00D00048" w:rsidRDefault="00D00048" w:rsidP="00D000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00048">
              <w:rPr>
                <w:rFonts w:ascii="Calibri" w:hAnsi="Calibri" w:cs="Calibri"/>
                <w:sz w:val="14"/>
                <w:szCs w:val="14"/>
              </w:rPr>
              <w:t>3 700,80000</w:t>
            </w:r>
          </w:p>
        </w:tc>
      </w:tr>
    </w:tbl>
    <w:p w:rsidR="00FF6783" w:rsidRDefault="00FF6783" w:rsidP="00FF6783">
      <w:pPr>
        <w:pStyle w:val="ConsPlusNormal"/>
      </w:pPr>
    </w:p>
    <w:p w:rsidR="00FF6783" w:rsidRDefault="00FF6783" w:rsidP="00A163C4">
      <w:pPr>
        <w:pStyle w:val="ConsPlusNormal"/>
        <w:jc w:val="right"/>
      </w:pPr>
    </w:p>
    <w:p w:rsidR="00FF6783" w:rsidRDefault="00FF6783" w:rsidP="00A163C4">
      <w:pPr>
        <w:pStyle w:val="ConsPlusNormal"/>
        <w:jc w:val="right"/>
      </w:pPr>
    </w:p>
    <w:p w:rsidR="00FF6783" w:rsidRDefault="00FF6783" w:rsidP="00A163C4">
      <w:pPr>
        <w:pStyle w:val="ConsPlusNormal"/>
        <w:jc w:val="right"/>
      </w:pPr>
    </w:p>
    <w:p w:rsidR="00D8270F" w:rsidRDefault="00D8270F" w:rsidP="00FF6783">
      <w:pPr>
        <w:pStyle w:val="ConsPlusNormal"/>
      </w:pPr>
    </w:p>
    <w:p w:rsidR="00D8270F" w:rsidRDefault="00D8270F" w:rsidP="00A163C4">
      <w:pPr>
        <w:pStyle w:val="ConsPlusNormal"/>
        <w:jc w:val="right"/>
      </w:pPr>
      <w:bookmarkStart w:id="14" w:name="_GoBack"/>
      <w:bookmarkEnd w:id="14"/>
    </w:p>
    <w:p w:rsidR="00D8270F" w:rsidRDefault="00D8270F" w:rsidP="00A163C4">
      <w:pPr>
        <w:pStyle w:val="ConsPlusNormal"/>
        <w:jc w:val="right"/>
      </w:pPr>
    </w:p>
    <w:p w:rsidR="00867FA8" w:rsidRDefault="00867FA8">
      <w:pPr>
        <w:sectPr w:rsidR="00867FA8" w:rsidSect="00C86B07">
          <w:pgSz w:w="16838" w:h="11905"/>
          <w:pgMar w:top="851" w:right="1134" w:bottom="851" w:left="1418" w:header="0" w:footer="0" w:gutter="0"/>
          <w:cols w:space="72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1C1" w:rsidRDefault="00AA21C1"/>
    <w:sectPr w:rsidR="00AA21C1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A7" w:rsidRDefault="003837A7" w:rsidP="0087018B">
      <w:r>
        <w:separator/>
      </w:r>
    </w:p>
  </w:endnote>
  <w:endnote w:type="continuationSeparator" w:id="0">
    <w:p w:rsidR="003837A7" w:rsidRDefault="003837A7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6783" w:rsidRPr="0087018B" w:rsidRDefault="00FF6783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D00048">
          <w:rPr>
            <w:noProof/>
            <w:sz w:val="20"/>
            <w:szCs w:val="20"/>
          </w:rPr>
          <w:t>87</w:t>
        </w:r>
        <w:r w:rsidRPr="0087018B">
          <w:rPr>
            <w:sz w:val="20"/>
            <w:szCs w:val="20"/>
          </w:rPr>
          <w:fldChar w:fldCharType="end"/>
        </w:r>
      </w:p>
    </w:sdtContent>
  </w:sdt>
  <w:p w:rsidR="00FF6783" w:rsidRDefault="00FF67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A7" w:rsidRDefault="003837A7" w:rsidP="0087018B">
      <w:r>
        <w:separator/>
      </w:r>
    </w:p>
  </w:footnote>
  <w:footnote w:type="continuationSeparator" w:id="0">
    <w:p w:rsidR="003837A7" w:rsidRDefault="003837A7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14877"/>
    <w:rsid w:val="0002321A"/>
    <w:rsid w:val="00062E00"/>
    <w:rsid w:val="000926BD"/>
    <w:rsid w:val="000A2EFC"/>
    <w:rsid w:val="000C2794"/>
    <w:rsid w:val="000D1A67"/>
    <w:rsid w:val="000F41D4"/>
    <w:rsid w:val="00102BCE"/>
    <w:rsid w:val="001050D6"/>
    <w:rsid w:val="00111A0F"/>
    <w:rsid w:val="001420D7"/>
    <w:rsid w:val="00150898"/>
    <w:rsid w:val="001544E1"/>
    <w:rsid w:val="00175D30"/>
    <w:rsid w:val="00196FDC"/>
    <w:rsid w:val="001B0029"/>
    <w:rsid w:val="001C68E3"/>
    <w:rsid w:val="001D10AD"/>
    <w:rsid w:val="001D3E26"/>
    <w:rsid w:val="001E6327"/>
    <w:rsid w:val="001F362D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C581C"/>
    <w:rsid w:val="002D5C8C"/>
    <w:rsid w:val="003118EB"/>
    <w:rsid w:val="0035046B"/>
    <w:rsid w:val="00363D26"/>
    <w:rsid w:val="00376522"/>
    <w:rsid w:val="003837A7"/>
    <w:rsid w:val="00383E3B"/>
    <w:rsid w:val="00393F5C"/>
    <w:rsid w:val="003A674E"/>
    <w:rsid w:val="003B51DF"/>
    <w:rsid w:val="00416451"/>
    <w:rsid w:val="0041773D"/>
    <w:rsid w:val="00426E46"/>
    <w:rsid w:val="00433DEB"/>
    <w:rsid w:val="004601F4"/>
    <w:rsid w:val="004755D8"/>
    <w:rsid w:val="004F6EE8"/>
    <w:rsid w:val="004F7423"/>
    <w:rsid w:val="0053314E"/>
    <w:rsid w:val="00543477"/>
    <w:rsid w:val="00575C0B"/>
    <w:rsid w:val="005867E9"/>
    <w:rsid w:val="005C3DF7"/>
    <w:rsid w:val="005D1A4B"/>
    <w:rsid w:val="005E043C"/>
    <w:rsid w:val="006206ED"/>
    <w:rsid w:val="0068419C"/>
    <w:rsid w:val="00684F8F"/>
    <w:rsid w:val="006A6E2B"/>
    <w:rsid w:val="006B7027"/>
    <w:rsid w:val="006C0ADC"/>
    <w:rsid w:val="006C1FE5"/>
    <w:rsid w:val="006C7010"/>
    <w:rsid w:val="00701AD8"/>
    <w:rsid w:val="00734AE1"/>
    <w:rsid w:val="00740DF4"/>
    <w:rsid w:val="00746C1D"/>
    <w:rsid w:val="0075535F"/>
    <w:rsid w:val="00756162"/>
    <w:rsid w:val="00772562"/>
    <w:rsid w:val="00784A1C"/>
    <w:rsid w:val="007A46EB"/>
    <w:rsid w:val="007F3D89"/>
    <w:rsid w:val="0083390A"/>
    <w:rsid w:val="008475B0"/>
    <w:rsid w:val="008629EF"/>
    <w:rsid w:val="00867FA8"/>
    <w:rsid w:val="0087018B"/>
    <w:rsid w:val="008C07D1"/>
    <w:rsid w:val="008E2230"/>
    <w:rsid w:val="008E2722"/>
    <w:rsid w:val="00900516"/>
    <w:rsid w:val="00917E64"/>
    <w:rsid w:val="00933229"/>
    <w:rsid w:val="00935078"/>
    <w:rsid w:val="009350D6"/>
    <w:rsid w:val="00937B07"/>
    <w:rsid w:val="00961E67"/>
    <w:rsid w:val="00996926"/>
    <w:rsid w:val="009A7F93"/>
    <w:rsid w:val="009C6DB4"/>
    <w:rsid w:val="009F0BCF"/>
    <w:rsid w:val="009F4D98"/>
    <w:rsid w:val="00A01FFE"/>
    <w:rsid w:val="00A06756"/>
    <w:rsid w:val="00A163C4"/>
    <w:rsid w:val="00A1721E"/>
    <w:rsid w:val="00A2314D"/>
    <w:rsid w:val="00A25BE9"/>
    <w:rsid w:val="00A3235D"/>
    <w:rsid w:val="00A34477"/>
    <w:rsid w:val="00A62DBE"/>
    <w:rsid w:val="00A64662"/>
    <w:rsid w:val="00A65BE8"/>
    <w:rsid w:val="00A71BF0"/>
    <w:rsid w:val="00AA21C1"/>
    <w:rsid w:val="00AA3786"/>
    <w:rsid w:val="00AA4718"/>
    <w:rsid w:val="00AA6616"/>
    <w:rsid w:val="00AE3FC4"/>
    <w:rsid w:val="00AF7A8B"/>
    <w:rsid w:val="00B008C9"/>
    <w:rsid w:val="00B16685"/>
    <w:rsid w:val="00B2203E"/>
    <w:rsid w:val="00B27F2C"/>
    <w:rsid w:val="00B34508"/>
    <w:rsid w:val="00B42849"/>
    <w:rsid w:val="00B551FD"/>
    <w:rsid w:val="00B97093"/>
    <w:rsid w:val="00BB772B"/>
    <w:rsid w:val="00BC0544"/>
    <w:rsid w:val="00BC6571"/>
    <w:rsid w:val="00BE4CBD"/>
    <w:rsid w:val="00BF1182"/>
    <w:rsid w:val="00BF157C"/>
    <w:rsid w:val="00C0192E"/>
    <w:rsid w:val="00C03ADC"/>
    <w:rsid w:val="00C219A0"/>
    <w:rsid w:val="00C458D4"/>
    <w:rsid w:val="00C60538"/>
    <w:rsid w:val="00C739E8"/>
    <w:rsid w:val="00C86B07"/>
    <w:rsid w:val="00CB0329"/>
    <w:rsid w:val="00CC611E"/>
    <w:rsid w:val="00D00048"/>
    <w:rsid w:val="00D14642"/>
    <w:rsid w:val="00D15656"/>
    <w:rsid w:val="00D1655B"/>
    <w:rsid w:val="00D8270F"/>
    <w:rsid w:val="00D834E1"/>
    <w:rsid w:val="00DC1D79"/>
    <w:rsid w:val="00DC7BF8"/>
    <w:rsid w:val="00E25ED6"/>
    <w:rsid w:val="00E353F4"/>
    <w:rsid w:val="00E83434"/>
    <w:rsid w:val="00EB5864"/>
    <w:rsid w:val="00F0345A"/>
    <w:rsid w:val="00F43FF7"/>
    <w:rsid w:val="00F8177D"/>
    <w:rsid w:val="00F91CF4"/>
    <w:rsid w:val="00FA114B"/>
    <w:rsid w:val="00FA726B"/>
    <w:rsid w:val="00FB7EAE"/>
    <w:rsid w:val="00FC3EF7"/>
    <w:rsid w:val="00FC52E5"/>
    <w:rsid w:val="00FD3E3A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iPriority w:val="99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0FC6-F231-4D94-AADE-2F1D805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87</Pages>
  <Words>35308</Words>
  <Characters>201257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12</cp:revision>
  <cp:lastPrinted>2018-07-15T22:49:00Z</cp:lastPrinted>
  <dcterms:created xsi:type="dcterms:W3CDTF">2018-10-29T00:08:00Z</dcterms:created>
  <dcterms:modified xsi:type="dcterms:W3CDTF">2019-01-30T05:37:00Z</dcterms:modified>
</cp:coreProperties>
</file>