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74" w:rsidRDefault="00A213B6" w:rsidP="00331874">
      <w:pPr>
        <w:jc w:val="center"/>
      </w:pPr>
      <w:r>
        <w:t>Доклад о</w:t>
      </w:r>
      <w:r w:rsidR="00331874" w:rsidRPr="00C52DA9">
        <w:t xml:space="preserve">б основных вопросах </w:t>
      </w:r>
    </w:p>
    <w:p w:rsidR="00331874" w:rsidRDefault="00331874" w:rsidP="00331874">
      <w:pPr>
        <w:jc w:val="center"/>
      </w:pPr>
      <w:r w:rsidRPr="00C52DA9">
        <w:t>демографического развития на территории Камчатского края</w:t>
      </w:r>
    </w:p>
    <w:p w:rsidR="00331874" w:rsidRDefault="00331874" w:rsidP="00331874">
      <w:pPr>
        <w:jc w:val="center"/>
      </w:pPr>
      <w:r>
        <w:t>(в части вопросов, отнесенных к полномочиям Агентства по занятости населения и миграционной политике Камчатского края)</w:t>
      </w:r>
    </w:p>
    <w:p w:rsidR="00331874" w:rsidRDefault="00331874" w:rsidP="00331874">
      <w:pPr>
        <w:jc w:val="center"/>
      </w:pPr>
    </w:p>
    <w:p w:rsidR="00BC010D" w:rsidRDefault="00BC010D" w:rsidP="00516238">
      <w:pPr>
        <w:jc w:val="both"/>
      </w:pPr>
    </w:p>
    <w:p w:rsidR="00A213B6" w:rsidRDefault="00A213B6" w:rsidP="00A3447F">
      <w:pPr>
        <w:spacing w:line="312" w:lineRule="auto"/>
        <w:jc w:val="both"/>
      </w:pPr>
      <w:r>
        <w:tab/>
        <w:t>Добрый день, уважаемые участники заседания.</w:t>
      </w:r>
    </w:p>
    <w:p w:rsidR="0015191A" w:rsidRDefault="0015191A" w:rsidP="00A3447F">
      <w:pPr>
        <w:spacing w:line="312" w:lineRule="auto"/>
        <w:jc w:val="both"/>
      </w:pPr>
    </w:p>
    <w:p w:rsidR="00331874" w:rsidRDefault="00A213B6" w:rsidP="0015191A">
      <w:pPr>
        <w:spacing w:line="360" w:lineRule="auto"/>
        <w:jc w:val="both"/>
      </w:pPr>
      <w:r>
        <w:tab/>
        <w:t xml:space="preserve">Органы государственной службы занятости населения в рамках своих полномочий реализуют ряд </w:t>
      </w:r>
      <w:proofErr w:type="gramStart"/>
      <w:r>
        <w:t>мероприятий,  направленных</w:t>
      </w:r>
      <w:proofErr w:type="gramEnd"/>
      <w:r>
        <w:t xml:space="preserve"> на </w:t>
      </w:r>
      <w:r w:rsidR="00BC010D">
        <w:t>обеспечение экономики края трудовыми ресурсами, что, в свою очередь, способствует сохранению и развитию демог</w:t>
      </w:r>
      <w:r>
        <w:t xml:space="preserve">рафического потенциала региона. При этом два мероприятия включены в национальный проект «Демография», это </w:t>
      </w:r>
      <w:r w:rsidR="00BC010D">
        <w:t xml:space="preserve">организация профессионального обучения и повышения </w:t>
      </w:r>
      <w:proofErr w:type="gramStart"/>
      <w:r w:rsidR="00BC010D">
        <w:t xml:space="preserve">квалификации  </w:t>
      </w:r>
      <w:r w:rsidR="003150A9">
        <w:t>родителей</w:t>
      </w:r>
      <w:proofErr w:type="gramEnd"/>
      <w:r w:rsidR="00516238">
        <w:t>, находящихся в отпуске по уходу за ребенком</w:t>
      </w:r>
      <w:r w:rsidR="00BC010D">
        <w:t xml:space="preserve"> до достижения им возраста 3-х лет</w:t>
      </w:r>
      <w:r>
        <w:t xml:space="preserve"> и </w:t>
      </w:r>
      <w:r w:rsidR="00114E4A">
        <w:t>организация профессионального обучения и повышения квалификации граждан «старшего поколения». Что касается первого мероприятия, то в рамках федерального проекта «Создание занятости женщин – создание условий дошкольного образования для детей в возрасте до трех лет</w:t>
      </w:r>
      <w:r w:rsidR="00FD2389">
        <w:t>»</w:t>
      </w:r>
      <w:r w:rsidR="00114E4A">
        <w:t>, одним из направлений является организация переобучения и повышения квалификации женщин в период отпуска по уходу за ребенком в возрасте до трех лет. Данное мероприятие</w:t>
      </w:r>
      <w:r w:rsidR="00FD2389">
        <w:t xml:space="preserve"> реализуется нами уже несколько лет и</w:t>
      </w:r>
      <w:r w:rsidR="00114E4A">
        <w:t xml:space="preserve">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умения и навыки), либо после выхода из отпуска по уходу за ребенком в возрасте до трех лет трудоустроиться на новое место работы, наиболее подходящее для совмещения с обязанностями по воспитанию ребенка. Реализация указанных мероприятий </w:t>
      </w:r>
      <w:proofErr w:type="spellStart"/>
      <w:r w:rsidR="00114E4A">
        <w:t>способствов</w:t>
      </w:r>
      <w:r w:rsidR="00FD2389">
        <w:t>ует</w:t>
      </w:r>
      <w:proofErr w:type="spellEnd"/>
      <w:r w:rsidR="00114E4A">
        <w:t xml:space="preserve"> повышению конкурентоспособности и на рынке труда и профессиональной мобильности, развитию занятости женщин, имеющих детей, и обеспечи</w:t>
      </w:r>
      <w:r w:rsidR="00FD2389">
        <w:t>вает</w:t>
      </w:r>
      <w:r w:rsidR="00114E4A">
        <w:t xml:space="preserve"> возможность совмещать трудовую занятость с семейными обязанностями. </w:t>
      </w:r>
      <w:r w:rsidR="00FD2389">
        <w:t>Порядка 500 человек приняли участие в этом мероприятии, с 2020 года у</w:t>
      </w:r>
      <w:r w:rsidR="0015191A">
        <w:t xml:space="preserve">частие регионов в реализации данного мероприятия </w:t>
      </w:r>
      <w:r w:rsidR="0015191A">
        <w:lastRenderedPageBreak/>
        <w:t xml:space="preserve">запланировано </w:t>
      </w:r>
      <w:r w:rsidR="00FD2389">
        <w:t xml:space="preserve">в рамках нацпроекта «Демография» с новыми подходами к его </w:t>
      </w:r>
      <w:proofErr w:type="spellStart"/>
      <w:r w:rsidR="00FD2389">
        <w:t>реализапции</w:t>
      </w:r>
      <w:proofErr w:type="spellEnd"/>
      <w:r w:rsidR="00FD2389">
        <w:t>.</w:t>
      </w:r>
    </w:p>
    <w:p w:rsidR="00114E4A" w:rsidRDefault="00114E4A" w:rsidP="0015191A">
      <w:pPr>
        <w:spacing w:line="360" w:lineRule="auto"/>
        <w:jc w:val="both"/>
      </w:pPr>
      <w:r>
        <w:tab/>
        <w:t xml:space="preserve">Мероприятия, направленные на </w:t>
      </w:r>
      <w:r w:rsidR="0015191A">
        <w:t xml:space="preserve">обеспечение занятости </w:t>
      </w:r>
      <w:r>
        <w:t>граждан «старшего поколения», планируются к реализации в рамках одноименного федерального проекта. Федеральный проект «Старшее поколение» носит межведомственный характер и направлен на создание к 2024 году условий для активного долголетия</w:t>
      </w:r>
      <w:r w:rsidR="0015191A">
        <w:t xml:space="preserve"> </w:t>
      </w:r>
      <w:proofErr w:type="gramStart"/>
      <w:r w:rsidR="0015191A">
        <w:t xml:space="preserve">и </w:t>
      </w:r>
      <w:r>
        <w:t xml:space="preserve"> качественной</w:t>
      </w:r>
      <w:proofErr w:type="gramEnd"/>
      <w:r>
        <w:t xml:space="preserve"> жизни граждан пожилого возраста.</w:t>
      </w:r>
      <w:r w:rsidR="0015191A">
        <w:t xml:space="preserve"> В этой связи, организация мероприятий по профессиональному обучению и дополнительному профессиональному образованию лиц </w:t>
      </w:r>
      <w:proofErr w:type="spellStart"/>
      <w:r w:rsidR="0015191A">
        <w:t>предпенсионного</w:t>
      </w:r>
      <w:proofErr w:type="spellEnd"/>
      <w:r w:rsidR="0015191A">
        <w:t xml:space="preserve"> возраста будет направлена на поддержку их занятости, в том числе – в части обеспечения их конкурентоспособности на рынке труда. Для этих целей проектом предусмотрено обучение граждан </w:t>
      </w:r>
      <w:proofErr w:type="spellStart"/>
      <w:r w:rsidR="0015191A">
        <w:t>предпенсионного</w:t>
      </w:r>
      <w:proofErr w:type="spellEnd"/>
      <w:r w:rsidR="0015191A">
        <w:t xml:space="preserve"> возраста востребованным в экономике региона навыкам и компетенциям. Начало реализации данного мероприятия </w:t>
      </w:r>
      <w:r w:rsidR="000A2845">
        <w:t xml:space="preserve">в рамках федерального проекта </w:t>
      </w:r>
      <w:r w:rsidR="0015191A">
        <w:t>планируется с 2019 года за счет средств федерального бюджета.</w:t>
      </w:r>
    </w:p>
    <w:p w:rsidR="00BC010D" w:rsidRDefault="0015191A" w:rsidP="000A2845">
      <w:pPr>
        <w:spacing w:line="360" w:lineRule="auto"/>
        <w:jc w:val="both"/>
      </w:pPr>
      <w:r>
        <w:tab/>
      </w:r>
      <w:r w:rsidR="000A2845">
        <w:t xml:space="preserve">Далее мне бы хотелось затронуть несколько мероприятий, не вошедших в национальный проект «Демография», но оказывающих существенное влияние на демографическое развитие региона. Это мероприятия, направленные на привлечение недостающих трудовых ресурсов на территорию Камчатского края, в числе </w:t>
      </w:r>
      <w:proofErr w:type="gramStart"/>
      <w:r w:rsidR="000A2845">
        <w:t xml:space="preserve">которых  </w:t>
      </w:r>
      <w:r w:rsidR="00BC010D">
        <w:t>организация</w:t>
      </w:r>
      <w:proofErr w:type="gramEnd"/>
      <w:r w:rsidR="00BC010D">
        <w:t xml:space="preserve"> переезда и переселения безработных граждан с целью трудоустройства на новое место жительства;</w:t>
      </w:r>
      <w:r w:rsidR="000A2845">
        <w:t xml:space="preserve"> </w:t>
      </w:r>
      <w:r w:rsidR="00BC010D">
        <w:t xml:space="preserve"> оказание содействия в переселении в Российскую Федерацию соотечественникам, проживающим за рубежом</w:t>
      </w:r>
      <w:r w:rsidR="000A2845">
        <w:t xml:space="preserve"> и </w:t>
      </w:r>
      <w:r w:rsidR="00BC010D">
        <w:t>повышение мобильности трудовых ресурсов</w:t>
      </w:r>
      <w:r w:rsidR="000A2845">
        <w:t>.</w:t>
      </w:r>
    </w:p>
    <w:p w:rsidR="00837550" w:rsidRPr="00116824" w:rsidRDefault="00837550" w:rsidP="00A3447F">
      <w:pPr>
        <w:spacing w:line="312" w:lineRule="auto"/>
        <w:ind w:firstLine="709"/>
        <w:jc w:val="both"/>
        <w:rPr>
          <w:bCs/>
        </w:rPr>
      </w:pPr>
      <w:r>
        <w:t>В целях развития внутренней миграции граждан Российской Федерации органами государственной службы занятости населения оказывается г</w:t>
      </w:r>
      <w:r w:rsidRPr="007172CC">
        <w:t xml:space="preserve">осударственная услуга по </w:t>
      </w:r>
      <w:r w:rsidRPr="00732DEF">
        <w:rPr>
          <w:rFonts w:eastAsia="Calibri"/>
          <w:bCs/>
          <w:lang w:eastAsia="en-US"/>
        </w:rPr>
        <w:t xml:space="preserve">содействию безработным гражданам в переезде и </w:t>
      </w:r>
      <w:proofErr w:type="gramStart"/>
      <w:r w:rsidRPr="00732DEF">
        <w:rPr>
          <w:rFonts w:eastAsia="Calibri"/>
          <w:bCs/>
          <w:lang w:eastAsia="en-US"/>
        </w:rPr>
        <w:t>безработным гражданам</w:t>
      </w:r>
      <w:proofErr w:type="gramEnd"/>
      <w:r w:rsidRPr="00732DEF">
        <w:rPr>
          <w:rFonts w:eastAsia="Calibri"/>
          <w:bCs/>
          <w:lang w:eastAsia="en-US"/>
        </w:rPr>
        <w:t xml:space="preserve"> и членам их семей в переселении в другую местность для трудоустройства по направлению органов службы занятости</w:t>
      </w:r>
      <w:r>
        <w:rPr>
          <w:rFonts w:eastAsia="Calibri"/>
          <w:bCs/>
          <w:lang w:eastAsia="en-US"/>
        </w:rPr>
        <w:t xml:space="preserve"> </w:t>
      </w:r>
      <w:r>
        <w:t>населения</w:t>
      </w:r>
      <w:r w:rsidR="000A2845">
        <w:t>. При этом б</w:t>
      </w:r>
      <w:r w:rsidRPr="00116824">
        <w:rPr>
          <w:bCs/>
        </w:rPr>
        <w:t xml:space="preserve">езработным гражданам при переезде и </w:t>
      </w:r>
      <w:proofErr w:type="gramStart"/>
      <w:r w:rsidRPr="00116824">
        <w:rPr>
          <w:bCs/>
        </w:rPr>
        <w:t>безработным гражданам</w:t>
      </w:r>
      <w:proofErr w:type="gramEnd"/>
      <w:r w:rsidRPr="00116824">
        <w:rPr>
          <w:bCs/>
        </w:rPr>
        <w:t xml:space="preserve"> и членам их семей при переселении в другую местность на новое место жительства для трудоустройства, по направлению органов службы занятости, оказывается </w:t>
      </w:r>
      <w:r w:rsidRPr="00116824">
        <w:rPr>
          <w:bCs/>
        </w:rPr>
        <w:lastRenderedPageBreak/>
        <w:t>финансовая поддержка</w:t>
      </w:r>
      <w:r w:rsidRPr="00116824">
        <w:t xml:space="preserve"> </w:t>
      </w:r>
      <w:r w:rsidR="000A2845">
        <w:t xml:space="preserve">в виде возмещения расходов, связанных с переездом и обустройством на новом месте жительства. Сюда включается оплата стоимости проезда, провоза багажа, найма жилого помещения и выплата пособия на обустройство. </w:t>
      </w:r>
    </w:p>
    <w:p w:rsidR="00837550" w:rsidRPr="00046DB1" w:rsidRDefault="00837550" w:rsidP="00A3447F">
      <w:pPr>
        <w:spacing w:line="312" w:lineRule="auto"/>
        <w:ind w:firstLine="709"/>
        <w:jc w:val="both"/>
        <w:rPr>
          <w:bCs/>
        </w:rPr>
      </w:pPr>
      <w:r w:rsidRPr="00116824">
        <w:rPr>
          <w:bCs/>
        </w:rPr>
        <w:t xml:space="preserve">Переселение безработных граждан осуществляется как внутри края, так и из </w:t>
      </w:r>
      <w:r w:rsidRPr="00046DB1">
        <w:rPr>
          <w:bCs/>
        </w:rPr>
        <w:t>других регионов Российской Федерации.</w:t>
      </w:r>
    </w:p>
    <w:p w:rsidR="00837550" w:rsidRDefault="00FD2389" w:rsidP="00A3447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</w:rPr>
      </w:pPr>
      <w:r>
        <w:rPr>
          <w:bCs/>
        </w:rPr>
        <w:t xml:space="preserve">Из года в год активно участвуют в этом мероприятии </w:t>
      </w:r>
      <w:proofErr w:type="spellStart"/>
      <w:r w:rsidR="0020166D">
        <w:rPr>
          <w:bCs/>
        </w:rPr>
        <w:t>Мильковский</w:t>
      </w:r>
      <w:proofErr w:type="spellEnd"/>
      <w:r w:rsidR="0020166D">
        <w:rPr>
          <w:bCs/>
        </w:rPr>
        <w:t xml:space="preserve">, </w:t>
      </w:r>
      <w:proofErr w:type="spellStart"/>
      <w:r w:rsidR="0020166D">
        <w:rPr>
          <w:bCs/>
        </w:rPr>
        <w:t>Быстринский</w:t>
      </w:r>
      <w:proofErr w:type="spellEnd"/>
      <w:r w:rsidR="0020166D">
        <w:rPr>
          <w:bCs/>
        </w:rPr>
        <w:t xml:space="preserve">, </w:t>
      </w:r>
      <w:proofErr w:type="spellStart"/>
      <w:r w:rsidR="0020166D">
        <w:rPr>
          <w:bCs/>
        </w:rPr>
        <w:t>Усть</w:t>
      </w:r>
      <w:proofErr w:type="spellEnd"/>
      <w:r w:rsidR="0020166D">
        <w:rPr>
          <w:bCs/>
        </w:rPr>
        <w:t xml:space="preserve">-Камчатский, </w:t>
      </w:r>
      <w:proofErr w:type="spellStart"/>
      <w:r>
        <w:rPr>
          <w:bCs/>
        </w:rPr>
        <w:t>Елизовский</w:t>
      </w:r>
      <w:proofErr w:type="spellEnd"/>
      <w:r w:rsidR="0020166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Олюторский</w:t>
      </w:r>
      <w:proofErr w:type="spellEnd"/>
      <w:r>
        <w:rPr>
          <w:bCs/>
        </w:rPr>
        <w:t xml:space="preserve"> муниципальны</w:t>
      </w:r>
      <w:r w:rsidR="0020166D">
        <w:rPr>
          <w:bCs/>
        </w:rPr>
        <w:t>е</w:t>
      </w:r>
      <w:r>
        <w:rPr>
          <w:bCs/>
        </w:rPr>
        <w:t xml:space="preserve"> район</w:t>
      </w:r>
      <w:r w:rsidR="0020166D">
        <w:rPr>
          <w:bCs/>
        </w:rPr>
        <w:t>ы</w:t>
      </w:r>
      <w:r>
        <w:rPr>
          <w:bCs/>
        </w:rPr>
        <w:t xml:space="preserve">, </w:t>
      </w:r>
      <w:r w:rsidR="0020166D">
        <w:rPr>
          <w:bCs/>
        </w:rPr>
        <w:t xml:space="preserve">ПКГО, к сожалению, Алеутский, </w:t>
      </w:r>
      <w:proofErr w:type="spellStart"/>
      <w:r w:rsidR="0020166D">
        <w:rPr>
          <w:bCs/>
        </w:rPr>
        <w:t>Пенжинский</w:t>
      </w:r>
      <w:proofErr w:type="spellEnd"/>
      <w:r w:rsidR="0020166D">
        <w:rPr>
          <w:bCs/>
        </w:rPr>
        <w:t xml:space="preserve">, </w:t>
      </w:r>
      <w:proofErr w:type="spellStart"/>
      <w:r w:rsidR="0020166D">
        <w:rPr>
          <w:bCs/>
        </w:rPr>
        <w:t>Тигильский</w:t>
      </w:r>
      <w:proofErr w:type="spellEnd"/>
      <w:r w:rsidR="0020166D">
        <w:rPr>
          <w:bCs/>
        </w:rPr>
        <w:t xml:space="preserve"> муниципальные районы и </w:t>
      </w:r>
      <w:proofErr w:type="spellStart"/>
      <w:r w:rsidR="0020166D">
        <w:rPr>
          <w:bCs/>
        </w:rPr>
        <w:t>пгт</w:t>
      </w:r>
      <w:proofErr w:type="spellEnd"/>
      <w:r w:rsidR="0020166D">
        <w:rPr>
          <w:bCs/>
        </w:rPr>
        <w:t xml:space="preserve"> Палана не используют возможности </w:t>
      </w:r>
      <w:r w:rsidR="00BD6ECF">
        <w:rPr>
          <w:bCs/>
        </w:rPr>
        <w:t>данного мероприятия для привлечения на территорию своих муниципальных образований работников, в которых нуждается район.</w:t>
      </w:r>
    </w:p>
    <w:p w:rsidR="00F8124A" w:rsidRDefault="00BD6ECF" w:rsidP="00BD6ECF">
      <w:pPr>
        <w:spacing w:line="312" w:lineRule="auto"/>
        <w:ind w:firstLine="709"/>
        <w:jc w:val="both"/>
        <w:rPr>
          <w:b/>
        </w:rPr>
      </w:pPr>
      <w:r>
        <w:rPr>
          <w:rFonts w:eastAsia="Calibri"/>
        </w:rPr>
        <w:t>Более подробная информация в разрезе каждого района указана в раздаточном материале.</w:t>
      </w:r>
    </w:p>
    <w:p w:rsidR="00C862D0" w:rsidRDefault="00BD6ECF" w:rsidP="00C862D0">
      <w:pPr>
        <w:spacing w:line="312" w:lineRule="auto"/>
        <w:ind w:firstLine="720"/>
        <w:jc w:val="both"/>
      </w:pPr>
      <w:r>
        <w:t xml:space="preserve"> Еще одним достаточно действенным способом для привлечения трудовых ресурсов в регион является </w:t>
      </w:r>
      <w:r w:rsidR="008B77B8">
        <w:t xml:space="preserve">Государственная программа по оказанию содействия добровольному переселению в Российскую Федерацию соотечественников, проживающих за рубежом, </w:t>
      </w:r>
      <w:r>
        <w:t xml:space="preserve">которая </w:t>
      </w:r>
      <w:r w:rsidR="008B77B8">
        <w:t>реализуется в Камчатском крае с 2009 года.</w:t>
      </w:r>
      <w:r w:rsidR="00C862D0">
        <w:t xml:space="preserve"> </w:t>
      </w:r>
      <w:r w:rsidR="00C862D0">
        <w:rPr>
          <w:bCs/>
        </w:rPr>
        <w:t xml:space="preserve">Всего за 8 лет реализации </w:t>
      </w:r>
      <w:r w:rsidR="00C862D0">
        <w:t xml:space="preserve">региональной программы </w:t>
      </w:r>
      <w:r w:rsidR="00C862D0">
        <w:rPr>
          <w:bCs/>
        </w:rPr>
        <w:t xml:space="preserve">в </w:t>
      </w:r>
      <w:r w:rsidR="00C862D0">
        <w:t xml:space="preserve">Камчатский </w:t>
      </w:r>
      <w:r w:rsidR="00C862D0">
        <w:rPr>
          <w:bCs/>
        </w:rPr>
        <w:t xml:space="preserve">край переселилось 3009 человек, </w:t>
      </w:r>
      <w:r w:rsidR="00C862D0">
        <w:t>в семьях переселившихся соотечественников родилось более 100 детей.</w:t>
      </w:r>
    </w:p>
    <w:p w:rsidR="008B77B8" w:rsidRDefault="00C862D0" w:rsidP="00A3447F">
      <w:pPr>
        <w:spacing w:line="312" w:lineRule="auto"/>
        <w:ind w:firstLine="720"/>
        <w:jc w:val="both"/>
      </w:pPr>
      <w:r>
        <w:rPr>
          <w:bCs/>
        </w:rPr>
        <w:t xml:space="preserve">На сегодняшний день </w:t>
      </w:r>
      <w:r w:rsidR="008B77B8">
        <w:rPr>
          <w:bCs/>
        </w:rPr>
        <w:t xml:space="preserve">территорией вселения </w:t>
      </w:r>
      <w:r w:rsidR="000636E3">
        <w:rPr>
          <w:bCs/>
        </w:rPr>
        <w:t>является</w:t>
      </w:r>
      <w:r w:rsidR="008B77B8">
        <w:rPr>
          <w:bCs/>
        </w:rPr>
        <w:t xml:space="preserve"> весь Камчатский край, за исключением закрытого автономного территориального образования г. </w:t>
      </w:r>
      <w:proofErr w:type="spellStart"/>
      <w:r w:rsidR="008B77B8">
        <w:rPr>
          <w:bCs/>
        </w:rPr>
        <w:t>Вилючинск</w:t>
      </w:r>
      <w:proofErr w:type="spellEnd"/>
      <w:r w:rsidR="008B77B8">
        <w:rPr>
          <w:bCs/>
        </w:rPr>
        <w:t xml:space="preserve">, то есть 12 проектов переселения </w:t>
      </w:r>
      <w:r w:rsidR="008B77B8">
        <w:t>(1 городской округ и 11 муниципальных районов, в том числе 3 городских поселения и 31 сельское поселение).</w:t>
      </w:r>
    </w:p>
    <w:p w:rsidR="008B77B8" w:rsidRDefault="008B77B8" w:rsidP="00A3447F">
      <w:pPr>
        <w:spacing w:line="312" w:lineRule="auto"/>
        <w:ind w:firstLine="720"/>
        <w:jc w:val="both"/>
      </w:pPr>
      <w:r>
        <w:t>Переселившиеся соотечественники проживают в</w:t>
      </w:r>
      <w:r w:rsidR="00C862D0">
        <w:t>о всех</w:t>
      </w:r>
      <w:r>
        <w:t xml:space="preserve"> территориях вселения Камчатского края:</w:t>
      </w:r>
    </w:p>
    <w:p w:rsidR="008B77B8" w:rsidRDefault="008B77B8" w:rsidP="00A3447F">
      <w:pPr>
        <w:spacing w:line="312" w:lineRule="auto"/>
        <w:ind w:firstLine="720"/>
        <w:jc w:val="both"/>
      </w:pPr>
      <w:r>
        <w:t>Петропавловск-Камчатский городской округ – 2400 человек (79,76%);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t>Елизовский</w:t>
      </w:r>
      <w:proofErr w:type="spellEnd"/>
      <w:r>
        <w:t xml:space="preserve"> муниципальный район – 361 человек (12,0%);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t>Тигильский</w:t>
      </w:r>
      <w:proofErr w:type="spellEnd"/>
      <w:r>
        <w:t xml:space="preserve"> муниципальный район,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пгт</w:t>
      </w:r>
      <w:proofErr w:type="spellEnd"/>
      <w:r>
        <w:t>. Палана – 51 человек (1,7%);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t>Пенжинский</w:t>
      </w:r>
      <w:proofErr w:type="spellEnd"/>
      <w:r>
        <w:t xml:space="preserve"> муниципальный район – 45 человек (1,5%);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t>Карагинский</w:t>
      </w:r>
      <w:proofErr w:type="spellEnd"/>
      <w:r>
        <w:t xml:space="preserve"> муниципальный район – 30 человек (1,0%);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t>Олюторский</w:t>
      </w:r>
      <w:proofErr w:type="spellEnd"/>
      <w:r>
        <w:t xml:space="preserve"> муниципальный район – 25 человек (0,82%);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t>Быстринский</w:t>
      </w:r>
      <w:proofErr w:type="spellEnd"/>
      <w:r>
        <w:t xml:space="preserve"> муниципальный район – 21 человек (0,7%);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lastRenderedPageBreak/>
        <w:t>Усть</w:t>
      </w:r>
      <w:proofErr w:type="spellEnd"/>
      <w:r>
        <w:t>-Большерецкий муниципальный район – 21 человек (0,7%);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t>Усть</w:t>
      </w:r>
      <w:proofErr w:type="spellEnd"/>
      <w:r>
        <w:t>-Камчатский муниципальный район – 19 человек (0,62%);</w:t>
      </w:r>
    </w:p>
    <w:p w:rsidR="008B77B8" w:rsidRDefault="008B77B8" w:rsidP="00A3447F">
      <w:pPr>
        <w:spacing w:line="312" w:lineRule="auto"/>
        <w:ind w:firstLine="720"/>
        <w:jc w:val="both"/>
      </w:pPr>
      <w:r>
        <w:t>Алеутский муниципальный район – 14 человек (0,46%);</w:t>
      </w:r>
    </w:p>
    <w:p w:rsidR="008B77B8" w:rsidRDefault="008B77B8" w:rsidP="00A3447F">
      <w:pPr>
        <w:spacing w:line="312" w:lineRule="auto"/>
        <w:ind w:firstLine="720"/>
        <w:jc w:val="both"/>
      </w:pPr>
      <w:proofErr w:type="spellStart"/>
      <w:r>
        <w:t>Мильковский</w:t>
      </w:r>
      <w:proofErr w:type="spellEnd"/>
      <w:r>
        <w:t xml:space="preserve"> муниципальный район – 11 человек (0,37%);</w:t>
      </w:r>
    </w:p>
    <w:p w:rsidR="008B77B8" w:rsidRDefault="008B77B8" w:rsidP="00A3447F">
      <w:pPr>
        <w:spacing w:line="312" w:lineRule="auto"/>
        <w:ind w:firstLine="720"/>
        <w:jc w:val="both"/>
      </w:pPr>
      <w:r>
        <w:t>Соболевский муниципальный район – 11 человек (0,37%).</w:t>
      </w:r>
    </w:p>
    <w:p w:rsidR="008B77B8" w:rsidRDefault="008B77B8" w:rsidP="00A3447F">
      <w:pPr>
        <w:spacing w:line="312" w:lineRule="auto"/>
        <w:ind w:firstLine="720"/>
        <w:jc w:val="both"/>
      </w:pPr>
      <w:r>
        <w:t xml:space="preserve">Переселившиеся соотечественники заместили вакантные рабочие места учителей и преподавателей, воспитателей, врачей, медицинских сестер, водителей, агрономов, операторов машинного доения, рабочие места по строительным, горнодобывающим профессиям, рабочие места в сфере предоставления услуг, производства пищевых продуктов, оптово-розничной торговли и ресторанной деятельности. </w:t>
      </w:r>
    </w:p>
    <w:p w:rsidR="00C862D0" w:rsidRDefault="008B77B8" w:rsidP="00A3447F">
      <w:pPr>
        <w:spacing w:line="312" w:lineRule="auto"/>
        <w:ind w:firstLine="720"/>
        <w:jc w:val="both"/>
      </w:pPr>
      <w:r>
        <w:t>В настоящее время в Камчатском крае реализуется 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рубежом», со сроком реализации 20</w:t>
      </w:r>
      <w:r w:rsidR="00C862D0">
        <w:t>18-2022 годы.</w:t>
      </w:r>
      <w:r w:rsidR="00BD6ECF">
        <w:t xml:space="preserve"> Надеемся, что отдаленные районы будут также более активно использовать возможности программы переселения.</w:t>
      </w:r>
    </w:p>
    <w:p w:rsidR="00017747" w:rsidRDefault="00BD6ECF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заключение кратко остановлюсь еще на одном мероприятии, которое реализуется в крае с целью привлечения трудовых ресурсов </w:t>
      </w:r>
      <w:r w:rsidR="00D60014" w:rsidRPr="00D60014">
        <w:rPr>
          <w:rFonts w:eastAsiaTheme="minorHAnsi"/>
          <w:lang w:eastAsia="en-US"/>
        </w:rPr>
        <w:t>необходимой квалификации</w:t>
      </w:r>
      <w:r>
        <w:rPr>
          <w:rFonts w:eastAsiaTheme="minorHAnsi"/>
          <w:lang w:eastAsia="en-US"/>
        </w:rPr>
        <w:t xml:space="preserve"> - это</w:t>
      </w:r>
      <w:r w:rsidR="00D60014" w:rsidRPr="00D60014">
        <w:rPr>
          <w:rFonts w:eastAsiaTheme="minorHAnsi"/>
          <w:lang w:eastAsia="en-US"/>
        </w:rPr>
        <w:t xml:space="preserve"> </w:t>
      </w:r>
      <w:r w:rsidR="002B7696">
        <w:rPr>
          <w:rFonts w:eastAsiaTheme="minorHAnsi"/>
          <w:lang w:eastAsia="en-US"/>
        </w:rPr>
        <w:t xml:space="preserve">программа повышения мобильности трудовых ресурсов, в рамках которой </w:t>
      </w:r>
      <w:r w:rsidR="00017747">
        <w:rPr>
          <w:rFonts w:eastAsiaTheme="minorHAnsi"/>
          <w:lang w:eastAsia="en-US"/>
        </w:rPr>
        <w:t xml:space="preserve">предусмотрено оказание финансовой поддержки работодателям, привлекающим трудовые ресурсы из других субъектов Российской Федерации, в размере 225,0 тысяч рублей. При этом, собственные средства работодателя на эти цели должны составлять не менее 75,0 </w:t>
      </w:r>
      <w:proofErr w:type="spellStart"/>
      <w:r w:rsidR="00017747">
        <w:rPr>
          <w:rFonts w:eastAsiaTheme="minorHAnsi"/>
          <w:lang w:eastAsia="en-US"/>
        </w:rPr>
        <w:t>тыс.рублей</w:t>
      </w:r>
      <w:proofErr w:type="spellEnd"/>
      <w:r w:rsidR="00017747">
        <w:rPr>
          <w:rFonts w:eastAsiaTheme="minorHAnsi"/>
          <w:lang w:eastAsia="en-US"/>
        </w:rPr>
        <w:t>. Рабо</w:t>
      </w:r>
      <w:r w:rsidR="002B7696">
        <w:rPr>
          <w:rFonts w:eastAsiaTheme="minorHAnsi"/>
          <w:lang w:eastAsia="en-US"/>
        </w:rPr>
        <w:t xml:space="preserve">тодателю </w:t>
      </w:r>
      <w:r w:rsidR="00017747">
        <w:rPr>
          <w:rFonts w:eastAsiaTheme="minorHAnsi"/>
          <w:lang w:eastAsia="en-US"/>
        </w:rPr>
        <w:t>выдается сертификат на общую сумму 300,0 тысяч рублей, средствами которого он вправе воспользоваться в течение трех лет. Средства сертифи</w:t>
      </w:r>
      <w:r w:rsidR="002B7696">
        <w:rPr>
          <w:rFonts w:eastAsiaTheme="minorHAnsi"/>
          <w:lang w:eastAsia="en-US"/>
        </w:rPr>
        <w:t>ката выплачиваются работодателю</w:t>
      </w:r>
      <w:r w:rsidR="00017747">
        <w:rPr>
          <w:rFonts w:eastAsiaTheme="minorHAnsi"/>
          <w:lang w:eastAsia="en-US"/>
        </w:rPr>
        <w:t xml:space="preserve"> в виде финансовой </w:t>
      </w:r>
      <w:r w:rsidR="002B7696">
        <w:rPr>
          <w:rFonts w:eastAsiaTheme="minorHAnsi"/>
          <w:lang w:eastAsia="en-US"/>
        </w:rPr>
        <w:t>помощи</w:t>
      </w:r>
      <w:r w:rsidR="00017747">
        <w:rPr>
          <w:rFonts w:eastAsiaTheme="minorHAnsi"/>
          <w:lang w:eastAsia="en-US"/>
        </w:rPr>
        <w:t xml:space="preserve"> на возмещение мер поддержки работникам, привлеченным из других субъектов Российской Федерации. </w:t>
      </w:r>
      <w:r w:rsidR="002B7696">
        <w:rPr>
          <w:rFonts w:eastAsiaTheme="minorHAnsi"/>
          <w:lang w:eastAsia="en-US"/>
        </w:rPr>
        <w:t xml:space="preserve">Следует отметить, что данный перечень не является исчерпывающим и, в случае необходимости, может быть расширен. На сегодняшний день возмещению подлежат такие затраты работодателя как </w:t>
      </w:r>
    </w:p>
    <w:p w:rsidR="00017747" w:rsidRDefault="00017747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 w:rsidRPr="00D60014">
        <w:rPr>
          <w:rFonts w:eastAsiaTheme="minorHAnsi"/>
          <w:lang w:eastAsia="en-US"/>
        </w:rPr>
        <w:t>транспортные расходы на переезд гражданина к месту работы;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 xml:space="preserve"> расходы, связанные с провозом личного имуществ</w:t>
      </w:r>
      <w:r w:rsidR="002B7696">
        <w:rPr>
          <w:rFonts w:eastAsiaTheme="minorHAnsi"/>
          <w:lang w:eastAsia="en-US"/>
        </w:rPr>
        <w:t xml:space="preserve">а гражданина и членов его семьи; </w:t>
      </w:r>
      <w:r w:rsidRPr="00D60014">
        <w:rPr>
          <w:rFonts w:eastAsiaTheme="minorHAnsi"/>
          <w:lang w:eastAsia="en-US"/>
        </w:rPr>
        <w:t xml:space="preserve"> расходы по найму или аренде жилого помещения;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>расходы гражданина на профессиональное обучение (повышение квалификации), в случае необходимости, для осуществления трудовой деятельности по профессии трудоустройства;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lastRenderedPageBreak/>
        <w:t>расходы по оплате мест в дошкольных образовательных учреждениях, предоставленных детям граждан;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 xml:space="preserve"> оплата полиса добровольного медицинского страхования гражданину;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 xml:space="preserve"> оплата расходов по доставке (проезду) к месту работы и обратно;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 xml:space="preserve"> оплата питания гражданину в течение рабочего дня в случае, если данное условие предусмотрено в коллективном договоре;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 xml:space="preserve"> расходы по приобретению специальной одежды, специальной обуви и других средств индивидуальной защиты;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 xml:space="preserve"> расходы по оплате страхования от несчастных случаев на производстве и профессиональных заболеваний;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 xml:space="preserve"> расходы, связанные с прохождением предварительных (при поступлении на работу) и периодических (в течение трудовой деятельности) медицинских осмотров;</w:t>
      </w:r>
      <w:r w:rsidR="002B7696">
        <w:rPr>
          <w:rFonts w:eastAsiaTheme="minorHAnsi"/>
          <w:lang w:eastAsia="en-US"/>
        </w:rPr>
        <w:t xml:space="preserve"> </w:t>
      </w:r>
      <w:r w:rsidRPr="00D60014">
        <w:rPr>
          <w:rFonts w:eastAsiaTheme="minorHAnsi"/>
          <w:lang w:eastAsia="en-US"/>
        </w:rPr>
        <w:t>расходы (единовременные) на обустройство гражданина.</w:t>
      </w:r>
      <w:r w:rsidR="002B7696">
        <w:rPr>
          <w:rFonts w:eastAsiaTheme="minorHAnsi"/>
          <w:lang w:eastAsia="en-US"/>
        </w:rPr>
        <w:t xml:space="preserve"> </w:t>
      </w:r>
    </w:p>
    <w:p w:rsidR="002B7696" w:rsidRDefault="002B7696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у работодателя существует реальная возможность </w:t>
      </w:r>
      <w:r w:rsidR="003D042A">
        <w:rPr>
          <w:rFonts w:eastAsiaTheme="minorHAnsi"/>
          <w:lang w:eastAsia="en-US"/>
        </w:rPr>
        <w:t xml:space="preserve">получить от государства </w:t>
      </w:r>
      <w:r>
        <w:rPr>
          <w:rFonts w:eastAsiaTheme="minorHAnsi"/>
          <w:lang w:eastAsia="en-US"/>
        </w:rPr>
        <w:t>не только помощь в привлечении недостающих трудовых ресурсов, но и компенсацию большинства понесенных расходов</w:t>
      </w:r>
      <w:r w:rsidR="003D042A">
        <w:rPr>
          <w:rFonts w:eastAsiaTheme="minorHAnsi"/>
          <w:lang w:eastAsia="en-US"/>
        </w:rPr>
        <w:t xml:space="preserve">. Несмотря на очевидную выгоду, участниками данной программы являются всего три работодателя, которые в 2017 году привлекли в край </w:t>
      </w:r>
      <w:r w:rsidR="003D042A" w:rsidRPr="00D60014">
        <w:rPr>
          <w:rFonts w:eastAsiaTheme="minorHAnsi"/>
          <w:lang w:eastAsia="en-US"/>
        </w:rPr>
        <w:t>84 квалифицированных специалиста</w:t>
      </w:r>
      <w:r w:rsidR="003D042A">
        <w:rPr>
          <w:rFonts w:eastAsiaTheme="minorHAnsi"/>
          <w:lang w:eastAsia="en-US"/>
        </w:rPr>
        <w:t>:</w:t>
      </w:r>
    </w:p>
    <w:p w:rsidR="00D60014" w:rsidRPr="00D60014" w:rsidRDefault="00D60014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 w:rsidRPr="00D60014">
        <w:rPr>
          <w:rFonts w:eastAsiaTheme="minorHAnsi"/>
          <w:lang w:eastAsia="en-US"/>
        </w:rPr>
        <w:t>1) АО «Аметистовое» (инвестиционный проект «Строительство горно-обогатительного комбината «Аметистовый»);</w:t>
      </w:r>
    </w:p>
    <w:p w:rsidR="00D60014" w:rsidRPr="00D60014" w:rsidRDefault="00D60014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 w:rsidRPr="00D60014">
        <w:rPr>
          <w:rFonts w:eastAsiaTheme="minorHAnsi"/>
          <w:lang w:eastAsia="en-US"/>
        </w:rPr>
        <w:t>2) ООО «Морской Стандарт-Бункер» (инвестиционный проект «Строительство и ввод в эксплуатацию комплекса по хранению и складированию нефтепродуктов емкостью 18000 тонн на базе существующего причального сооружения в г. Петропавловск-Камчатский»);</w:t>
      </w:r>
    </w:p>
    <w:p w:rsidR="00D60014" w:rsidRPr="00D60014" w:rsidRDefault="00D60014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 w:rsidRPr="00D60014">
        <w:rPr>
          <w:rFonts w:eastAsiaTheme="minorHAnsi"/>
          <w:lang w:eastAsia="en-US"/>
        </w:rPr>
        <w:t>3) ООО «</w:t>
      </w:r>
      <w:proofErr w:type="spellStart"/>
      <w:r w:rsidRPr="00D60014">
        <w:rPr>
          <w:rFonts w:eastAsiaTheme="minorHAnsi"/>
          <w:lang w:eastAsia="en-US"/>
        </w:rPr>
        <w:t>Агротек</w:t>
      </w:r>
      <w:proofErr w:type="spellEnd"/>
      <w:r w:rsidRPr="00D60014">
        <w:rPr>
          <w:rFonts w:eastAsiaTheme="minorHAnsi"/>
          <w:lang w:eastAsia="en-US"/>
        </w:rPr>
        <w:t xml:space="preserve">» (инвестиционный проект «Строительство </w:t>
      </w:r>
      <w:proofErr w:type="spellStart"/>
      <w:r w:rsidRPr="00D60014">
        <w:rPr>
          <w:rFonts w:eastAsiaTheme="minorHAnsi"/>
          <w:lang w:eastAsia="en-US"/>
        </w:rPr>
        <w:t>свинокомплекса</w:t>
      </w:r>
      <w:proofErr w:type="spellEnd"/>
      <w:r w:rsidRPr="00D60014">
        <w:rPr>
          <w:rFonts w:eastAsiaTheme="minorHAnsi"/>
          <w:lang w:eastAsia="en-US"/>
        </w:rPr>
        <w:t xml:space="preserve"> мощностью до 36000 голов в год в п. Лесной Елизовского района Камчатского края»). </w:t>
      </w:r>
    </w:p>
    <w:p w:rsidR="00D60014" w:rsidRPr="00D60014" w:rsidRDefault="00D60014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 w:rsidRPr="00D60014">
        <w:rPr>
          <w:rFonts w:eastAsiaTheme="minorHAnsi"/>
          <w:lang w:eastAsia="en-US"/>
        </w:rPr>
        <w:t>Переезд работников организован из Республики Башкортостан (9 чел.), Краснодарского края (8 чел.), Кемеровской области (7 чел.), Алтайского края (6 чел.), Самарской области (5 чел.), Оренбургской области (4 чел.) и др. (всего из 31 субъекта Российской Федерации, не включенного в Перечень).</w:t>
      </w:r>
    </w:p>
    <w:p w:rsidR="00D60014" w:rsidRPr="00D60014" w:rsidRDefault="00D60014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 w:rsidRPr="00D60014">
        <w:rPr>
          <w:rFonts w:eastAsiaTheme="minorHAnsi"/>
          <w:lang w:eastAsia="en-US"/>
        </w:rPr>
        <w:t>Основные профессии (специальности), на которые привлечены переехавшие работники: заместитель главного геолога, инженер-геолог, маркшейдер, энергетик, диспетчер горный, аппаратчик-</w:t>
      </w:r>
      <w:proofErr w:type="spellStart"/>
      <w:r w:rsidRPr="00D60014">
        <w:rPr>
          <w:rFonts w:eastAsiaTheme="minorHAnsi"/>
          <w:lang w:eastAsia="en-US"/>
        </w:rPr>
        <w:t>гидрометаллург</w:t>
      </w:r>
      <w:proofErr w:type="spellEnd"/>
      <w:r w:rsidRPr="00D60014">
        <w:rPr>
          <w:rFonts w:eastAsiaTheme="minorHAnsi"/>
          <w:lang w:eastAsia="en-US"/>
        </w:rPr>
        <w:t>, заместитель технического директора, заместитель главного инженера, ведущий инженер, главный ветеринарный врач, ветеринарный врач, зоотехник и др.</w:t>
      </w:r>
    </w:p>
    <w:p w:rsidR="00D60014" w:rsidRDefault="00F7660C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2018 году вышеуказанными работодателями планируется привлечение 75 человек, из которых 58 человек – работники АО «Аметистовое».</w:t>
      </w:r>
    </w:p>
    <w:p w:rsidR="00F7660C" w:rsidRPr="00D60014" w:rsidRDefault="003D042A" w:rsidP="00A3447F">
      <w:pPr>
        <w:spacing w:line="312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заключении хотелось бы обратить внимание присутствующих сегодня участников заседания, что вступившие со 2 октября изменения законодательства о занятости значительно упростили порядок и условия участия работодателей в программе повышения мобильности, поэтому мы призываем глав муниципальных образований активно подключиться к</w:t>
      </w:r>
      <w:r w:rsidR="00F7660C">
        <w:rPr>
          <w:rFonts w:eastAsiaTheme="minorHAnsi"/>
          <w:lang w:eastAsia="en-US"/>
        </w:rPr>
        <w:t xml:space="preserve"> реализации данного мероприятия</w:t>
      </w:r>
      <w:r>
        <w:rPr>
          <w:rFonts w:eastAsiaTheme="minorHAnsi"/>
          <w:lang w:eastAsia="en-US"/>
        </w:rPr>
        <w:t>. Несмотря на то, что данное направление не вошло в национальный проект «Демография» его важность и значимость для развития Дальневосточного региона неоднократно отмечалась на различных правительственных мероприятиях, в том числе – в рамках прошедшего недавно Восточного экономического форума.</w:t>
      </w:r>
      <w:r w:rsidR="00220C79">
        <w:rPr>
          <w:rFonts w:eastAsiaTheme="minorHAnsi"/>
          <w:lang w:eastAsia="en-US"/>
        </w:rPr>
        <w:t xml:space="preserve">  </w:t>
      </w:r>
      <w:bookmarkStart w:id="0" w:name="_GoBack"/>
      <w:bookmarkEnd w:id="0"/>
    </w:p>
    <w:p w:rsidR="000636E3" w:rsidRPr="000636E3" w:rsidRDefault="000636E3" w:rsidP="000636E3">
      <w:pPr>
        <w:spacing w:line="360" w:lineRule="auto"/>
        <w:ind w:firstLine="720"/>
        <w:jc w:val="both"/>
      </w:pPr>
    </w:p>
    <w:p w:rsidR="00331874" w:rsidRDefault="00331874" w:rsidP="00331874">
      <w:pPr>
        <w:jc w:val="center"/>
      </w:pPr>
    </w:p>
    <w:sectPr w:rsidR="00331874" w:rsidSect="001623B1">
      <w:footerReference w:type="default" r:id="rId8"/>
      <w:type w:val="continuous"/>
      <w:pgSz w:w="11907" w:h="16840" w:code="9"/>
      <w:pgMar w:top="851" w:right="567" w:bottom="851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F3" w:rsidRDefault="00997CF3">
      <w:r>
        <w:separator/>
      </w:r>
    </w:p>
  </w:endnote>
  <w:endnote w:type="continuationSeparator" w:id="0">
    <w:p w:rsidR="00997CF3" w:rsidRDefault="0099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60808"/>
      <w:docPartObj>
        <w:docPartGallery w:val="Page Numbers (Bottom of Page)"/>
        <w:docPartUnique/>
      </w:docPartObj>
    </w:sdtPr>
    <w:sdtContent>
      <w:p w:rsidR="007D097D" w:rsidRDefault="007D09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D097D" w:rsidRDefault="007D09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F3" w:rsidRDefault="00997CF3">
      <w:r>
        <w:separator/>
      </w:r>
    </w:p>
  </w:footnote>
  <w:footnote w:type="continuationSeparator" w:id="0">
    <w:p w:rsidR="00997CF3" w:rsidRDefault="0099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0EB0"/>
    <w:multiLevelType w:val="hybridMultilevel"/>
    <w:tmpl w:val="42D8C698"/>
    <w:lvl w:ilvl="0" w:tplc="2D081A6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F3"/>
    <w:rsid w:val="00006B9A"/>
    <w:rsid w:val="00007AE7"/>
    <w:rsid w:val="00011C9E"/>
    <w:rsid w:val="00012AE7"/>
    <w:rsid w:val="00017747"/>
    <w:rsid w:val="000230C6"/>
    <w:rsid w:val="000272FE"/>
    <w:rsid w:val="00045166"/>
    <w:rsid w:val="000612B2"/>
    <w:rsid w:val="00061E10"/>
    <w:rsid w:val="00062199"/>
    <w:rsid w:val="000636E3"/>
    <w:rsid w:val="00066B39"/>
    <w:rsid w:val="00066EB5"/>
    <w:rsid w:val="00070BEB"/>
    <w:rsid w:val="00070FCC"/>
    <w:rsid w:val="00077F46"/>
    <w:rsid w:val="0008367F"/>
    <w:rsid w:val="00093034"/>
    <w:rsid w:val="00094479"/>
    <w:rsid w:val="000A1603"/>
    <w:rsid w:val="000A2845"/>
    <w:rsid w:val="000A2B87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D7A2D"/>
    <w:rsid w:val="000E596A"/>
    <w:rsid w:val="000F0DF7"/>
    <w:rsid w:val="000F207E"/>
    <w:rsid w:val="000F4FBA"/>
    <w:rsid w:val="001049A9"/>
    <w:rsid w:val="00110B17"/>
    <w:rsid w:val="00114924"/>
    <w:rsid w:val="00114E4A"/>
    <w:rsid w:val="00121BBF"/>
    <w:rsid w:val="00125C95"/>
    <w:rsid w:val="00133536"/>
    <w:rsid w:val="001339BD"/>
    <w:rsid w:val="00135C86"/>
    <w:rsid w:val="001403B5"/>
    <w:rsid w:val="00140914"/>
    <w:rsid w:val="0014352E"/>
    <w:rsid w:val="0014447E"/>
    <w:rsid w:val="00145CD9"/>
    <w:rsid w:val="00145F66"/>
    <w:rsid w:val="0014656B"/>
    <w:rsid w:val="0014734B"/>
    <w:rsid w:val="001475F3"/>
    <w:rsid w:val="0015191A"/>
    <w:rsid w:val="0015224F"/>
    <w:rsid w:val="00152447"/>
    <w:rsid w:val="001567F4"/>
    <w:rsid w:val="001571F8"/>
    <w:rsid w:val="001623B1"/>
    <w:rsid w:val="00170B82"/>
    <w:rsid w:val="001727C4"/>
    <w:rsid w:val="00173BA9"/>
    <w:rsid w:val="00173D76"/>
    <w:rsid w:val="001845AA"/>
    <w:rsid w:val="00186DF7"/>
    <w:rsid w:val="00197956"/>
    <w:rsid w:val="001A5125"/>
    <w:rsid w:val="001A7A34"/>
    <w:rsid w:val="001B1C3B"/>
    <w:rsid w:val="001B7EE4"/>
    <w:rsid w:val="001C343E"/>
    <w:rsid w:val="001C519E"/>
    <w:rsid w:val="001C584C"/>
    <w:rsid w:val="001C7F6C"/>
    <w:rsid w:val="001D2FA6"/>
    <w:rsid w:val="001D473C"/>
    <w:rsid w:val="001D4DC5"/>
    <w:rsid w:val="001E23DA"/>
    <w:rsid w:val="001E7C57"/>
    <w:rsid w:val="001F05E7"/>
    <w:rsid w:val="001F2588"/>
    <w:rsid w:val="0020166D"/>
    <w:rsid w:val="00207134"/>
    <w:rsid w:val="00213358"/>
    <w:rsid w:val="0021379F"/>
    <w:rsid w:val="00213B7E"/>
    <w:rsid w:val="00217A78"/>
    <w:rsid w:val="00220C79"/>
    <w:rsid w:val="002316C0"/>
    <w:rsid w:val="002331C3"/>
    <w:rsid w:val="00234277"/>
    <w:rsid w:val="00234AA2"/>
    <w:rsid w:val="00235F1E"/>
    <w:rsid w:val="0024040C"/>
    <w:rsid w:val="00261611"/>
    <w:rsid w:val="00264724"/>
    <w:rsid w:val="00266A93"/>
    <w:rsid w:val="00276815"/>
    <w:rsid w:val="00280F33"/>
    <w:rsid w:val="00284638"/>
    <w:rsid w:val="00285D9F"/>
    <w:rsid w:val="002A425C"/>
    <w:rsid w:val="002B31C4"/>
    <w:rsid w:val="002B7696"/>
    <w:rsid w:val="002C6500"/>
    <w:rsid w:val="002C6931"/>
    <w:rsid w:val="002D04D7"/>
    <w:rsid w:val="002D4873"/>
    <w:rsid w:val="002E2CB3"/>
    <w:rsid w:val="002E4BA3"/>
    <w:rsid w:val="002F2F40"/>
    <w:rsid w:val="002F362A"/>
    <w:rsid w:val="00307639"/>
    <w:rsid w:val="003150A9"/>
    <w:rsid w:val="00315999"/>
    <w:rsid w:val="0032060C"/>
    <w:rsid w:val="00323544"/>
    <w:rsid w:val="003250D0"/>
    <w:rsid w:val="00331874"/>
    <w:rsid w:val="00334DAA"/>
    <w:rsid w:val="00341FA9"/>
    <w:rsid w:val="00347E56"/>
    <w:rsid w:val="00354332"/>
    <w:rsid w:val="003626C6"/>
    <w:rsid w:val="00372593"/>
    <w:rsid w:val="00386E96"/>
    <w:rsid w:val="003909EA"/>
    <w:rsid w:val="00392906"/>
    <w:rsid w:val="00393D7E"/>
    <w:rsid w:val="00394893"/>
    <w:rsid w:val="00395342"/>
    <w:rsid w:val="003B644B"/>
    <w:rsid w:val="003C0D39"/>
    <w:rsid w:val="003C2802"/>
    <w:rsid w:val="003C2905"/>
    <w:rsid w:val="003C29D6"/>
    <w:rsid w:val="003C64FF"/>
    <w:rsid w:val="003D042A"/>
    <w:rsid w:val="003E3F92"/>
    <w:rsid w:val="003E672D"/>
    <w:rsid w:val="003F187B"/>
    <w:rsid w:val="003F2EF9"/>
    <w:rsid w:val="00416C05"/>
    <w:rsid w:val="00420D9C"/>
    <w:rsid w:val="00423AFF"/>
    <w:rsid w:val="004319A5"/>
    <w:rsid w:val="00442E09"/>
    <w:rsid w:val="00446403"/>
    <w:rsid w:val="00447119"/>
    <w:rsid w:val="00450518"/>
    <w:rsid w:val="004512EB"/>
    <w:rsid w:val="004563C8"/>
    <w:rsid w:val="00466371"/>
    <w:rsid w:val="00466ECF"/>
    <w:rsid w:val="00474358"/>
    <w:rsid w:val="004824B7"/>
    <w:rsid w:val="00490EA8"/>
    <w:rsid w:val="0049193F"/>
    <w:rsid w:val="00492AE2"/>
    <w:rsid w:val="00494E40"/>
    <w:rsid w:val="004A0187"/>
    <w:rsid w:val="004C50F8"/>
    <w:rsid w:val="004D128B"/>
    <w:rsid w:val="004D3A45"/>
    <w:rsid w:val="004E1F56"/>
    <w:rsid w:val="004E5C84"/>
    <w:rsid w:val="004E7185"/>
    <w:rsid w:val="004E76BB"/>
    <w:rsid w:val="004F7635"/>
    <w:rsid w:val="00500455"/>
    <w:rsid w:val="00500EA7"/>
    <w:rsid w:val="00500F89"/>
    <w:rsid w:val="00507CC3"/>
    <w:rsid w:val="00511238"/>
    <w:rsid w:val="0051574A"/>
    <w:rsid w:val="00516238"/>
    <w:rsid w:val="005251E7"/>
    <w:rsid w:val="005255B2"/>
    <w:rsid w:val="00533685"/>
    <w:rsid w:val="0053741F"/>
    <w:rsid w:val="00541F6E"/>
    <w:rsid w:val="00543457"/>
    <w:rsid w:val="00552FAD"/>
    <w:rsid w:val="00560486"/>
    <w:rsid w:val="00563BC0"/>
    <w:rsid w:val="00566B8F"/>
    <w:rsid w:val="00574717"/>
    <w:rsid w:val="00584B3B"/>
    <w:rsid w:val="0058637F"/>
    <w:rsid w:val="005867FE"/>
    <w:rsid w:val="005A4FB4"/>
    <w:rsid w:val="005A7C4C"/>
    <w:rsid w:val="005B0D67"/>
    <w:rsid w:val="005B46FD"/>
    <w:rsid w:val="005B7586"/>
    <w:rsid w:val="005D5548"/>
    <w:rsid w:val="005D7A7A"/>
    <w:rsid w:val="005E07A9"/>
    <w:rsid w:val="005E3E20"/>
    <w:rsid w:val="005E7EA0"/>
    <w:rsid w:val="005F0C71"/>
    <w:rsid w:val="005F6971"/>
    <w:rsid w:val="00603742"/>
    <w:rsid w:val="00603E85"/>
    <w:rsid w:val="00606E19"/>
    <w:rsid w:val="00607614"/>
    <w:rsid w:val="0061261F"/>
    <w:rsid w:val="00617199"/>
    <w:rsid w:val="0061786A"/>
    <w:rsid w:val="00623726"/>
    <w:rsid w:val="006309A1"/>
    <w:rsid w:val="00634768"/>
    <w:rsid w:val="00650071"/>
    <w:rsid w:val="00651BF2"/>
    <w:rsid w:val="006571EB"/>
    <w:rsid w:val="00665FA3"/>
    <w:rsid w:val="006678A7"/>
    <w:rsid w:val="00671DB2"/>
    <w:rsid w:val="006728BE"/>
    <w:rsid w:val="00676EDE"/>
    <w:rsid w:val="00680494"/>
    <w:rsid w:val="00680B9B"/>
    <w:rsid w:val="00685306"/>
    <w:rsid w:val="006905AE"/>
    <w:rsid w:val="00690AD7"/>
    <w:rsid w:val="0069287A"/>
    <w:rsid w:val="00693640"/>
    <w:rsid w:val="00693CCE"/>
    <w:rsid w:val="00694C8D"/>
    <w:rsid w:val="006957F3"/>
    <w:rsid w:val="006A1106"/>
    <w:rsid w:val="006A4C93"/>
    <w:rsid w:val="006A7C1C"/>
    <w:rsid w:val="006B038A"/>
    <w:rsid w:val="006B16BA"/>
    <w:rsid w:val="006B16D3"/>
    <w:rsid w:val="006C372C"/>
    <w:rsid w:val="006C6321"/>
    <w:rsid w:val="006C64A6"/>
    <w:rsid w:val="006C7904"/>
    <w:rsid w:val="006D148F"/>
    <w:rsid w:val="006D21F6"/>
    <w:rsid w:val="006D3400"/>
    <w:rsid w:val="006D535A"/>
    <w:rsid w:val="006E2BEF"/>
    <w:rsid w:val="006E5009"/>
    <w:rsid w:val="006E67A4"/>
    <w:rsid w:val="006F56C2"/>
    <w:rsid w:val="006F5825"/>
    <w:rsid w:val="007039FF"/>
    <w:rsid w:val="007057D6"/>
    <w:rsid w:val="00712A55"/>
    <w:rsid w:val="00720128"/>
    <w:rsid w:val="00720647"/>
    <w:rsid w:val="00720A83"/>
    <w:rsid w:val="00724682"/>
    <w:rsid w:val="00724FAA"/>
    <w:rsid w:val="0072556C"/>
    <w:rsid w:val="00734B96"/>
    <w:rsid w:val="0073569A"/>
    <w:rsid w:val="00740AF1"/>
    <w:rsid w:val="0074414C"/>
    <w:rsid w:val="00747499"/>
    <w:rsid w:val="007547AF"/>
    <w:rsid w:val="007574F1"/>
    <w:rsid w:val="00757DC4"/>
    <w:rsid w:val="00761E6F"/>
    <w:rsid w:val="00763895"/>
    <w:rsid w:val="0076598D"/>
    <w:rsid w:val="00774196"/>
    <w:rsid w:val="00774378"/>
    <w:rsid w:val="00776BEA"/>
    <w:rsid w:val="0077793A"/>
    <w:rsid w:val="00780F9C"/>
    <w:rsid w:val="00781134"/>
    <w:rsid w:val="00792AE3"/>
    <w:rsid w:val="007A2588"/>
    <w:rsid w:val="007A32FD"/>
    <w:rsid w:val="007A6FE7"/>
    <w:rsid w:val="007B00E2"/>
    <w:rsid w:val="007B24CD"/>
    <w:rsid w:val="007B2736"/>
    <w:rsid w:val="007C11BB"/>
    <w:rsid w:val="007C36BD"/>
    <w:rsid w:val="007C4043"/>
    <w:rsid w:val="007C4F8D"/>
    <w:rsid w:val="007C71AA"/>
    <w:rsid w:val="007D097D"/>
    <w:rsid w:val="007D1C24"/>
    <w:rsid w:val="007D500E"/>
    <w:rsid w:val="007E0ED2"/>
    <w:rsid w:val="007E320E"/>
    <w:rsid w:val="007E3377"/>
    <w:rsid w:val="007E4CB1"/>
    <w:rsid w:val="007E6E86"/>
    <w:rsid w:val="007F1E22"/>
    <w:rsid w:val="00800071"/>
    <w:rsid w:val="00804E9F"/>
    <w:rsid w:val="008052A1"/>
    <w:rsid w:val="008054F2"/>
    <w:rsid w:val="0081049C"/>
    <w:rsid w:val="00810CA7"/>
    <w:rsid w:val="00815625"/>
    <w:rsid w:val="00821424"/>
    <w:rsid w:val="00826A09"/>
    <w:rsid w:val="00837550"/>
    <w:rsid w:val="0084269C"/>
    <w:rsid w:val="00843ACF"/>
    <w:rsid w:val="0084453C"/>
    <w:rsid w:val="0085169F"/>
    <w:rsid w:val="00852478"/>
    <w:rsid w:val="00852CC5"/>
    <w:rsid w:val="00861125"/>
    <w:rsid w:val="00862801"/>
    <w:rsid w:val="00864623"/>
    <w:rsid w:val="00871524"/>
    <w:rsid w:val="00874F88"/>
    <w:rsid w:val="0088028B"/>
    <w:rsid w:val="008813B3"/>
    <w:rsid w:val="008928F7"/>
    <w:rsid w:val="00896EC5"/>
    <w:rsid w:val="008A4721"/>
    <w:rsid w:val="008A4A2E"/>
    <w:rsid w:val="008B0588"/>
    <w:rsid w:val="008B42F8"/>
    <w:rsid w:val="008B4CCA"/>
    <w:rsid w:val="008B77B8"/>
    <w:rsid w:val="008C3CAB"/>
    <w:rsid w:val="008D6636"/>
    <w:rsid w:val="008D6DEA"/>
    <w:rsid w:val="008E0AA7"/>
    <w:rsid w:val="008E151B"/>
    <w:rsid w:val="008E67EE"/>
    <w:rsid w:val="008F02FB"/>
    <w:rsid w:val="00906E74"/>
    <w:rsid w:val="00911578"/>
    <w:rsid w:val="0091403E"/>
    <w:rsid w:val="00926139"/>
    <w:rsid w:val="0093339D"/>
    <w:rsid w:val="0093540F"/>
    <w:rsid w:val="00942620"/>
    <w:rsid w:val="009427B1"/>
    <w:rsid w:val="00942C8F"/>
    <w:rsid w:val="009501C1"/>
    <w:rsid w:val="009539D3"/>
    <w:rsid w:val="00955221"/>
    <w:rsid w:val="00963D79"/>
    <w:rsid w:val="009671C5"/>
    <w:rsid w:val="00975BB6"/>
    <w:rsid w:val="00993E06"/>
    <w:rsid w:val="00993F64"/>
    <w:rsid w:val="00997CF3"/>
    <w:rsid w:val="009A139F"/>
    <w:rsid w:val="009A361B"/>
    <w:rsid w:val="009A4903"/>
    <w:rsid w:val="009A7C3C"/>
    <w:rsid w:val="009B167A"/>
    <w:rsid w:val="009B1698"/>
    <w:rsid w:val="009B1D73"/>
    <w:rsid w:val="009B3576"/>
    <w:rsid w:val="009B38D1"/>
    <w:rsid w:val="009B4BD2"/>
    <w:rsid w:val="009B5D33"/>
    <w:rsid w:val="009B6B81"/>
    <w:rsid w:val="009C0AF3"/>
    <w:rsid w:val="009C0DE3"/>
    <w:rsid w:val="009C227E"/>
    <w:rsid w:val="009C23F3"/>
    <w:rsid w:val="009C3BEC"/>
    <w:rsid w:val="009D07FB"/>
    <w:rsid w:val="009D63D8"/>
    <w:rsid w:val="009E2F24"/>
    <w:rsid w:val="009E51E1"/>
    <w:rsid w:val="009E7122"/>
    <w:rsid w:val="009F04B2"/>
    <w:rsid w:val="009F75EB"/>
    <w:rsid w:val="00A00513"/>
    <w:rsid w:val="00A010AE"/>
    <w:rsid w:val="00A03FEA"/>
    <w:rsid w:val="00A073CB"/>
    <w:rsid w:val="00A15B67"/>
    <w:rsid w:val="00A2087F"/>
    <w:rsid w:val="00A213B6"/>
    <w:rsid w:val="00A237B1"/>
    <w:rsid w:val="00A27C19"/>
    <w:rsid w:val="00A304D8"/>
    <w:rsid w:val="00A32DDF"/>
    <w:rsid w:val="00A3447F"/>
    <w:rsid w:val="00A36796"/>
    <w:rsid w:val="00A37A02"/>
    <w:rsid w:val="00A41603"/>
    <w:rsid w:val="00A4330B"/>
    <w:rsid w:val="00A56E5C"/>
    <w:rsid w:val="00A6327D"/>
    <w:rsid w:val="00A633F0"/>
    <w:rsid w:val="00A678A0"/>
    <w:rsid w:val="00A8076B"/>
    <w:rsid w:val="00A81390"/>
    <w:rsid w:val="00A828F3"/>
    <w:rsid w:val="00A85EC3"/>
    <w:rsid w:val="00AB051B"/>
    <w:rsid w:val="00AB17A7"/>
    <w:rsid w:val="00AB46F6"/>
    <w:rsid w:val="00AB58D9"/>
    <w:rsid w:val="00AB7314"/>
    <w:rsid w:val="00AC2870"/>
    <w:rsid w:val="00AC5BC6"/>
    <w:rsid w:val="00AD5D7D"/>
    <w:rsid w:val="00AE01F7"/>
    <w:rsid w:val="00AE0E08"/>
    <w:rsid w:val="00AE2315"/>
    <w:rsid w:val="00AE5020"/>
    <w:rsid w:val="00AF4575"/>
    <w:rsid w:val="00B03B47"/>
    <w:rsid w:val="00B04F84"/>
    <w:rsid w:val="00B0599C"/>
    <w:rsid w:val="00B1122C"/>
    <w:rsid w:val="00B21D39"/>
    <w:rsid w:val="00B364C8"/>
    <w:rsid w:val="00B6068A"/>
    <w:rsid w:val="00B65B03"/>
    <w:rsid w:val="00B66A0C"/>
    <w:rsid w:val="00B73F0E"/>
    <w:rsid w:val="00B77A85"/>
    <w:rsid w:val="00B8271E"/>
    <w:rsid w:val="00B87142"/>
    <w:rsid w:val="00B902D2"/>
    <w:rsid w:val="00B9107D"/>
    <w:rsid w:val="00B911B2"/>
    <w:rsid w:val="00B956A7"/>
    <w:rsid w:val="00BA00A2"/>
    <w:rsid w:val="00BA1A26"/>
    <w:rsid w:val="00BA4E77"/>
    <w:rsid w:val="00BA61FB"/>
    <w:rsid w:val="00BA6878"/>
    <w:rsid w:val="00BB4157"/>
    <w:rsid w:val="00BB7682"/>
    <w:rsid w:val="00BC010D"/>
    <w:rsid w:val="00BC2975"/>
    <w:rsid w:val="00BC310D"/>
    <w:rsid w:val="00BC33EE"/>
    <w:rsid w:val="00BC7845"/>
    <w:rsid w:val="00BC7926"/>
    <w:rsid w:val="00BD5338"/>
    <w:rsid w:val="00BD6ECF"/>
    <w:rsid w:val="00BE3AA9"/>
    <w:rsid w:val="00BE4A9C"/>
    <w:rsid w:val="00BF1115"/>
    <w:rsid w:val="00BF3247"/>
    <w:rsid w:val="00BF4AA3"/>
    <w:rsid w:val="00BF7972"/>
    <w:rsid w:val="00BF7A4C"/>
    <w:rsid w:val="00C046EC"/>
    <w:rsid w:val="00C04E22"/>
    <w:rsid w:val="00C1563D"/>
    <w:rsid w:val="00C1590B"/>
    <w:rsid w:val="00C250AA"/>
    <w:rsid w:val="00C30691"/>
    <w:rsid w:val="00C32568"/>
    <w:rsid w:val="00C330D3"/>
    <w:rsid w:val="00C34AC5"/>
    <w:rsid w:val="00C36B70"/>
    <w:rsid w:val="00C43A57"/>
    <w:rsid w:val="00C4423C"/>
    <w:rsid w:val="00C45F37"/>
    <w:rsid w:val="00C50324"/>
    <w:rsid w:val="00C50848"/>
    <w:rsid w:val="00C5406E"/>
    <w:rsid w:val="00C57AB7"/>
    <w:rsid w:val="00C60E74"/>
    <w:rsid w:val="00C645F1"/>
    <w:rsid w:val="00C679A5"/>
    <w:rsid w:val="00C749BF"/>
    <w:rsid w:val="00C74CD6"/>
    <w:rsid w:val="00C7579B"/>
    <w:rsid w:val="00C8225C"/>
    <w:rsid w:val="00C82305"/>
    <w:rsid w:val="00C84DB9"/>
    <w:rsid w:val="00C862D0"/>
    <w:rsid w:val="00CA7C01"/>
    <w:rsid w:val="00CB0B6D"/>
    <w:rsid w:val="00CB1968"/>
    <w:rsid w:val="00CC6083"/>
    <w:rsid w:val="00CD2705"/>
    <w:rsid w:val="00CE30D7"/>
    <w:rsid w:val="00CE4688"/>
    <w:rsid w:val="00CE6C5B"/>
    <w:rsid w:val="00CF4BF7"/>
    <w:rsid w:val="00CF6475"/>
    <w:rsid w:val="00D07541"/>
    <w:rsid w:val="00D10B8F"/>
    <w:rsid w:val="00D15DED"/>
    <w:rsid w:val="00D17144"/>
    <w:rsid w:val="00D24227"/>
    <w:rsid w:val="00D256F4"/>
    <w:rsid w:val="00D262E7"/>
    <w:rsid w:val="00D34E60"/>
    <w:rsid w:val="00D36855"/>
    <w:rsid w:val="00D45800"/>
    <w:rsid w:val="00D46EBA"/>
    <w:rsid w:val="00D509A5"/>
    <w:rsid w:val="00D52266"/>
    <w:rsid w:val="00D5321C"/>
    <w:rsid w:val="00D60014"/>
    <w:rsid w:val="00D6503C"/>
    <w:rsid w:val="00D66518"/>
    <w:rsid w:val="00D66E5A"/>
    <w:rsid w:val="00D72718"/>
    <w:rsid w:val="00D8066F"/>
    <w:rsid w:val="00D932FB"/>
    <w:rsid w:val="00D97D26"/>
    <w:rsid w:val="00DA7D1B"/>
    <w:rsid w:val="00DB3327"/>
    <w:rsid w:val="00DD25D5"/>
    <w:rsid w:val="00DD5149"/>
    <w:rsid w:val="00DD6758"/>
    <w:rsid w:val="00DD67BC"/>
    <w:rsid w:val="00DE11BC"/>
    <w:rsid w:val="00DF007F"/>
    <w:rsid w:val="00DF3DCB"/>
    <w:rsid w:val="00E30FDF"/>
    <w:rsid w:val="00E3469C"/>
    <w:rsid w:val="00E40566"/>
    <w:rsid w:val="00E4083D"/>
    <w:rsid w:val="00E410BF"/>
    <w:rsid w:val="00E428FE"/>
    <w:rsid w:val="00E60E34"/>
    <w:rsid w:val="00E67470"/>
    <w:rsid w:val="00E73D57"/>
    <w:rsid w:val="00E75113"/>
    <w:rsid w:val="00E95222"/>
    <w:rsid w:val="00EA111A"/>
    <w:rsid w:val="00EA6328"/>
    <w:rsid w:val="00EA6523"/>
    <w:rsid w:val="00EB58DD"/>
    <w:rsid w:val="00EB7BDB"/>
    <w:rsid w:val="00EC165B"/>
    <w:rsid w:val="00EC69B5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148EA"/>
    <w:rsid w:val="00F229A3"/>
    <w:rsid w:val="00F2537F"/>
    <w:rsid w:val="00F27026"/>
    <w:rsid w:val="00F30A06"/>
    <w:rsid w:val="00F311FD"/>
    <w:rsid w:val="00F37F1B"/>
    <w:rsid w:val="00F42C7C"/>
    <w:rsid w:val="00F469A4"/>
    <w:rsid w:val="00F47C77"/>
    <w:rsid w:val="00F50C04"/>
    <w:rsid w:val="00F50D06"/>
    <w:rsid w:val="00F64499"/>
    <w:rsid w:val="00F70465"/>
    <w:rsid w:val="00F7138B"/>
    <w:rsid w:val="00F73080"/>
    <w:rsid w:val="00F7660C"/>
    <w:rsid w:val="00F7726F"/>
    <w:rsid w:val="00F8038E"/>
    <w:rsid w:val="00F8124A"/>
    <w:rsid w:val="00F81491"/>
    <w:rsid w:val="00F84D17"/>
    <w:rsid w:val="00F85607"/>
    <w:rsid w:val="00F86A84"/>
    <w:rsid w:val="00FB1523"/>
    <w:rsid w:val="00FB4B66"/>
    <w:rsid w:val="00FC0690"/>
    <w:rsid w:val="00FC1C66"/>
    <w:rsid w:val="00FC1FDC"/>
    <w:rsid w:val="00FC76DF"/>
    <w:rsid w:val="00FD2389"/>
    <w:rsid w:val="00FD318F"/>
    <w:rsid w:val="00FE6E55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80856-69D1-477B-BB88-91C7D3CA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9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semiHidden/>
    <w:rsid w:val="00392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estern">
    <w:name w:val="western"/>
    <w:basedOn w:val="a"/>
    <w:rsid w:val="009B1D73"/>
    <w:pPr>
      <w:keepNext/>
      <w:spacing w:before="119" w:after="119"/>
      <w:ind w:firstLine="567"/>
      <w:jc w:val="both"/>
    </w:pPr>
    <w:rPr>
      <w:rFonts w:ascii="TIMESDL" w:hAnsi="TIMESDL"/>
      <w:sz w:val="26"/>
      <w:szCs w:val="26"/>
    </w:rPr>
  </w:style>
  <w:style w:type="paragraph" w:styleId="af8">
    <w:name w:val="Normal (Web)"/>
    <w:basedOn w:val="a"/>
    <w:uiPriority w:val="99"/>
    <w:unhideWhenUsed/>
    <w:rsid w:val="009C0AF3"/>
    <w:pPr>
      <w:spacing w:before="100" w:beforeAutospacing="1" w:after="142" w:line="288" w:lineRule="auto"/>
    </w:pPr>
    <w:rPr>
      <w:sz w:val="24"/>
      <w:szCs w:val="24"/>
    </w:rPr>
  </w:style>
  <w:style w:type="paragraph" w:customStyle="1" w:styleId="0">
    <w:name w:val="Стиль0"/>
    <w:basedOn w:val="a"/>
    <w:link w:val="00"/>
    <w:qFormat/>
    <w:rsid w:val="00837550"/>
    <w:pPr>
      <w:ind w:firstLine="708"/>
      <w:jc w:val="both"/>
    </w:pPr>
    <w:rPr>
      <w:rFonts w:eastAsia="Calibri"/>
      <w:lang w:val="x-none"/>
    </w:rPr>
  </w:style>
  <w:style w:type="character" w:customStyle="1" w:styleId="00">
    <w:name w:val="Стиль0 Знак"/>
    <w:link w:val="0"/>
    <w:locked/>
    <w:rsid w:val="00837550"/>
    <w:rPr>
      <w:rFonts w:ascii="Times New Roman" w:hAnsi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wncloud\&#1044;&#1086;&#1082;&#1091;&#1084;&#1077;&#1085;&#1090;&#1099;\&#1064;&#1072;&#1073;&#1083;&#1086;&#1085;%20&#1087;&#1080;&#1089;&#1100;&#1084;&#1072;%20&#1040;&#1075;&#1077;&#1085;&#1090;&#1089;&#1090;&#1074;&#1072;%20&#1089;%20&#1087;&#1088;&#1080;&#1083;&#1086;&#1078;&#1077;&#1085;&#1080;&#1077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B80E-063F-4647-A593-0944734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Агентства с приложением.dotx</Template>
  <TotalTime>83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11433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subject/>
  <dc:creator>Семиволос Иван Дмитриевич</dc:creator>
  <cp:keywords/>
  <dc:description/>
  <cp:lastModifiedBy>Ниценко Наталья Борисовна</cp:lastModifiedBy>
  <cp:revision>5</cp:revision>
  <cp:lastPrinted>2018-10-01T03:51:00Z</cp:lastPrinted>
  <dcterms:created xsi:type="dcterms:W3CDTF">2018-10-01T01:14:00Z</dcterms:created>
  <dcterms:modified xsi:type="dcterms:W3CDTF">2018-10-01T03:59:00Z</dcterms:modified>
</cp:coreProperties>
</file>