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line="240" w:lineRule="auto"/>
        <w:ind w:firstLine="708" w:left="0"/>
        <w:jc w:val="both"/>
      </w:pPr>
      <w:r>
        <w:t xml:space="preserve">В 2024 году в Камчатский край переселилось 196 соотечественников, из них 65 участников Госпрограммы (далее – УГП) и 131 член их  семей (далее – ЧС), в том числе прибыло из-за рубежа 67 соотечественников </w:t>
      </w:r>
      <w:r>
        <w:t>(18 УГП и 49 ЧС), получили свидетельство участника Госпрограммы на территории Камчатского края 129 соотечественников (47 УГП и 82 ЧС).</w:t>
      </w:r>
    </w:p>
    <w:p w14:paraId="05000000">
      <w:pPr>
        <w:spacing w:line="240" w:lineRule="auto"/>
        <w:ind w:firstLine="708" w:left="0"/>
        <w:jc w:val="both"/>
      </w:pPr>
      <w:r>
        <w:t>Соотечественники прибыли из следующих стран:</w:t>
      </w:r>
    </w:p>
    <w:p w14:paraId="06000000">
      <w:pPr>
        <w:spacing w:line="240" w:lineRule="auto"/>
        <w:ind w:firstLine="708" w:left="0"/>
        <w:jc w:val="both"/>
      </w:pPr>
      <w:r>
        <w:t>- Узбекистан – 109 человек;</w:t>
      </w:r>
    </w:p>
    <w:p w14:paraId="07000000">
      <w:pPr>
        <w:spacing w:line="240" w:lineRule="auto"/>
        <w:ind w:firstLine="708" w:left="0"/>
        <w:jc w:val="both"/>
      </w:pPr>
      <w:r>
        <w:t>- Киргизия – 70 человек;</w:t>
      </w:r>
    </w:p>
    <w:p w14:paraId="08000000">
      <w:pPr>
        <w:spacing w:line="240" w:lineRule="auto"/>
        <w:ind w:firstLine="708" w:left="0"/>
        <w:jc w:val="both"/>
      </w:pPr>
      <w:r>
        <w:t>-</w:t>
      </w:r>
      <w:r>
        <w:t xml:space="preserve"> Таджикистан – 11 человек;</w:t>
      </w:r>
    </w:p>
    <w:p w14:paraId="09000000">
      <w:pPr>
        <w:spacing w:line="240" w:lineRule="auto"/>
        <w:ind w:firstLine="708" w:left="0"/>
        <w:jc w:val="both"/>
      </w:pPr>
      <w:r>
        <w:t>- Беларусь – 3 человека;</w:t>
      </w:r>
    </w:p>
    <w:p w14:paraId="0A000000">
      <w:pPr>
        <w:spacing w:line="240" w:lineRule="auto"/>
        <w:ind w:firstLine="708" w:left="0"/>
        <w:jc w:val="both"/>
      </w:pPr>
      <w:r>
        <w:t>- Казахстан – 2 человека;</w:t>
      </w:r>
    </w:p>
    <w:p w14:paraId="0B000000">
      <w:pPr>
        <w:spacing w:line="240" w:lineRule="auto"/>
        <w:ind w:firstLine="708" w:left="0"/>
        <w:jc w:val="both"/>
      </w:pPr>
      <w:r>
        <w:t>- Азербайджан – 1 человек.</w:t>
      </w:r>
    </w:p>
    <w:p w14:paraId="0C000000">
      <w:pPr>
        <w:spacing w:line="240" w:lineRule="auto"/>
        <w:ind w:firstLine="708" w:left="0"/>
        <w:jc w:val="both"/>
      </w:pPr>
      <w:r>
        <w:t>Прибывшие переселенцы проживают на следующих территориях вселения:</w:t>
      </w:r>
    </w:p>
    <w:p w14:paraId="0D000000">
      <w:pPr>
        <w:spacing w:line="240" w:lineRule="auto"/>
        <w:ind w:firstLine="709" w:left="0"/>
        <w:jc w:val="both"/>
        <w:rPr>
          <w:shd w:fill="FFD821" w:val="clear"/>
        </w:rPr>
      </w:pPr>
      <w:r>
        <w:t>- Петропавловск-Камчатский городской округ – 169</w:t>
      </w:r>
      <w:r>
        <w:t xml:space="preserve"> человек;</w:t>
      </w:r>
    </w:p>
    <w:p w14:paraId="0E000000">
      <w:pPr>
        <w:spacing w:line="240" w:lineRule="auto"/>
        <w:ind w:firstLine="709" w:left="0"/>
        <w:jc w:val="both"/>
      </w:pPr>
      <w:r>
        <w:t>- Елизовский муниципальный район –</w:t>
      </w:r>
      <w:r>
        <w:t xml:space="preserve"> 24 </w:t>
      </w:r>
      <w:r>
        <w:t>ч</w:t>
      </w:r>
      <w:r>
        <w:t>еловека;</w:t>
      </w:r>
    </w:p>
    <w:p w14:paraId="0F000000">
      <w:pPr>
        <w:spacing w:line="240" w:lineRule="auto"/>
        <w:ind w:firstLine="708" w:left="0"/>
        <w:jc w:val="both"/>
      </w:pPr>
      <w:r>
        <w:t>-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t xml:space="preserve">Усть-Большерецкий </w:t>
      </w:r>
      <w:r>
        <w:t>муниципальный район –</w:t>
      </w:r>
      <w:r>
        <w:t xml:space="preserve"> 3</w:t>
      </w:r>
      <w:r>
        <w:t xml:space="preserve"> </w:t>
      </w:r>
      <w:r>
        <w:t>ч</w:t>
      </w:r>
      <w:r>
        <w:t>еловека.</w:t>
      </w:r>
    </w:p>
    <w:p w14:paraId="10000000">
      <w:pPr>
        <w:spacing w:line="240" w:lineRule="auto"/>
        <w:ind w:firstLine="708" w:left="0"/>
        <w:jc w:val="both"/>
      </w:pPr>
      <w:r>
        <w:t xml:space="preserve">Большинство переселенцев по возрастному критерию относится к экономически активному населению – 123 человека в трудоспособном возрасте </w:t>
      </w:r>
      <w:r>
        <w:br/>
      </w:r>
      <w:r>
        <w:t>(с 16 до 65 лет), и их доля от общего числа переселившихся составляет 62,8 %. Совместно с участниками Госпрограммы переселилось 72 несовершеннолетних члена семьи в возрасте до 16 лет и 1</w:t>
      </w:r>
      <w:r>
        <w:t xml:space="preserve"> нетрудоспособный член семьи.</w:t>
      </w:r>
    </w:p>
    <w:p w14:paraId="11000000">
      <w:pPr>
        <w:ind w:firstLine="709" w:left="0"/>
        <w:jc w:val="both"/>
      </w:pPr>
      <w:r>
        <w:t>Из числа соотечественников в трудоспособном возрасте 74 % (91 человек) имеют профессиональное образование, а именно: высшее – 34 человека, среднее профессиональное – 57 человек, среднее общее (полное) образование у 33 членов семьи.</w:t>
      </w:r>
    </w:p>
    <w:p w14:paraId="12000000">
      <w:pPr>
        <w:ind w:firstLine="709" w:left="0"/>
        <w:jc w:val="both"/>
      </w:pPr>
      <w:r>
        <w:t xml:space="preserve">Из числа соотечественников, прибывших в 2024 году, трудоустроено 93 человека (57 УГП и 36 ЧС), что составляет 76 % от числа соотечественников трудоспособного возраста. </w:t>
      </w:r>
    </w:p>
    <w:p w14:paraId="13000000">
      <w:pPr>
        <w:spacing w:line="240" w:lineRule="auto"/>
        <w:ind w:firstLine="708" w:left="0"/>
        <w:jc w:val="both"/>
        <w:rPr>
          <w:shd w:fill="FFD821" w:val="clear"/>
        </w:rPr>
      </w:pPr>
      <w:r>
        <w:t xml:space="preserve">Переселившиеся соотечественники осуществляют трудовую деятельность </w:t>
      </w:r>
      <w:r>
        <w:rPr>
          <w:i w:val="0"/>
          <w:color w:val="000000"/>
          <w:sz w:val="28"/>
          <w:u w:val="none"/>
        </w:rPr>
        <w:t xml:space="preserve">в сфере </w:t>
      </w:r>
      <w:r>
        <w:rPr>
          <w:i w:val="0"/>
          <w:color w:val="000000"/>
          <w:sz w:val="28"/>
          <w:u w:val="none"/>
        </w:rPr>
        <w:t>здравоохранения,</w:t>
      </w:r>
      <w:r>
        <w:rPr>
          <w:i w:val="0"/>
          <w:color w:val="000000"/>
          <w:sz w:val="28"/>
          <w:u w:val="none"/>
        </w:rPr>
        <w:t xml:space="preserve"> образования, </w:t>
      </w:r>
      <w:r>
        <w:rPr>
          <w:i w:val="0"/>
          <w:color w:val="000000"/>
          <w:sz w:val="28"/>
          <w:u w:val="none"/>
        </w:rPr>
        <w:t>тор</w:t>
      </w:r>
      <w:r>
        <w:rPr>
          <w:i w:val="0"/>
          <w:color w:val="000000"/>
          <w:sz w:val="28"/>
          <w:u w:val="none"/>
        </w:rPr>
        <w:t>говли,</w:t>
      </w:r>
      <w:r>
        <w:rPr>
          <w:i w:val="0"/>
          <w:color w:val="000000"/>
          <w:sz w:val="28"/>
          <w:u w:val="none"/>
        </w:rPr>
        <w:t xml:space="preserve"> строительства,</w:t>
      </w:r>
      <w:r>
        <w:rPr>
          <w:i w:val="0"/>
          <w:color w:val="000000"/>
          <w:sz w:val="28"/>
          <w:u w:val="none"/>
        </w:rPr>
        <w:t xml:space="preserve"> а</w:t>
      </w:r>
      <w:r>
        <w:rPr>
          <w:i w:val="0"/>
          <w:color w:val="000000"/>
          <w:sz w:val="28"/>
          <w:u w:val="none"/>
        </w:rPr>
        <w:t>втотранспорта,</w:t>
      </w:r>
      <w:r>
        <w:rPr>
          <w:i w:val="0"/>
          <w:color w:val="000000"/>
          <w:sz w:val="28"/>
          <w:u w:val="none"/>
        </w:rPr>
        <w:t xml:space="preserve"> общественного</w:t>
      </w:r>
      <w:r>
        <w:rPr>
          <w:i w:val="0"/>
          <w:color w:val="000000"/>
          <w:sz w:val="28"/>
        </w:rPr>
        <w:t xml:space="preserve"> питания</w:t>
      </w:r>
      <w:r>
        <w:rPr>
          <w:i w:val="0"/>
          <w:color w:val="000000"/>
          <w:sz w:val="28"/>
        </w:rPr>
        <w:t>,</w:t>
      </w:r>
      <w:r>
        <w:rPr>
          <w:i w:val="0"/>
          <w:color w:val="000000"/>
          <w:sz w:val="28"/>
        </w:rPr>
        <w:t xml:space="preserve"> рыбной отра</w:t>
      </w:r>
      <w:r>
        <w:rPr>
          <w:i w:val="0"/>
          <w:color w:val="000000"/>
          <w:sz w:val="28"/>
        </w:rPr>
        <w:t>сли</w:t>
      </w:r>
      <w:r>
        <w:t>.</w:t>
      </w:r>
    </w:p>
    <w:p w14:paraId="14000000">
      <w:pPr>
        <w:spacing w:line="240" w:lineRule="auto"/>
        <w:ind w:firstLine="709" w:left="0"/>
        <w:jc w:val="both"/>
      </w:pPr>
      <w:r>
        <w:t>Из общего числа трудоустроенных 5 человек являются студентами по очной форме обучения в профессиональных образовательных организациях Камчатского края, 5 соотечественников являются индивидуальными предпринимателями в</w:t>
      </w:r>
      <w:r>
        <w:t xml:space="preserve"> сфере технического обслуживания и ремонта автотранспортных средств, производства штукатурных работ, </w:t>
      </w:r>
      <w:r>
        <w:rPr>
          <w:rFonts w:ascii="Times New Roman" w:hAnsi="Times New Roman"/>
          <w:color w:themeColor="dark1" w:val="000000"/>
          <w:sz w:val="28"/>
        </w:rPr>
        <w:t>прочих отделочных и завершающих работ,</w:t>
      </w:r>
      <w:r>
        <w:t xml:space="preserve"> </w:t>
      </w:r>
      <w:r>
        <w:rPr>
          <w:rFonts w:ascii="Times New Roman" w:hAnsi="Times New Roman"/>
          <w:color w:themeColor="dark1" w:val="000000"/>
          <w:sz w:val="28"/>
        </w:rPr>
        <w:t>предоставления косметических услуг парикмахерскими и салонами красоты</w:t>
      </w:r>
      <w:r>
        <w:t xml:space="preserve">. </w:t>
      </w:r>
    </w:p>
    <w:p w14:paraId="15000000">
      <w:pPr>
        <w:ind w:firstLine="708" w:left="0"/>
        <w:jc w:val="both"/>
        <w:rPr>
          <w:color w:val="000000"/>
        </w:rPr>
      </w:pPr>
    </w:p>
    <w:sectPr>
      <w:headerReference r:id="rId1" w:type="default"/>
      <w:pgSz w:h="16848" w:orient="portrait" w:w="11908"/>
      <w:pgMar w:bottom="1134" w:footer="340" w:gutter="0" w:header="340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>
      <w:rPr>
        <w:sz w:val="24"/>
      </w:rPr>
      <w:t xml:space="preserve"> </w:t>
    </w:r>
    <w:r>
      <w:rPr>
        <w:sz w:val="24"/>
      </w:rPr>
      <w:fldChar w:fldCharType="end"/>
    </w:r>
  </w:p>
  <w:p w14:paraId="02000000">
    <w:pPr>
      <w:pStyle w:val="Style_1"/>
      <w:ind/>
      <w:jc w:val="center"/>
      <w:rPr>
        <w:sz w:val="24"/>
      </w:rPr>
    </w:pP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ConsPlusNormal"/>
    <w:link w:val="Style_3_ch"/>
    <w:pPr>
      <w:widowControl w:val="0"/>
      <w:ind/>
    </w:pPr>
    <w:rPr>
      <w:rFonts w:ascii="Calibri" w:hAnsi="Calibri"/>
      <w:sz w:val="22"/>
    </w:rPr>
  </w:style>
  <w:style w:styleId="Style_3_ch" w:type="character">
    <w:name w:val="ConsPlusNormal"/>
    <w:link w:val="Style_3"/>
    <w:rPr>
      <w:rFonts w:ascii="Calibri" w:hAnsi="Calibri"/>
      <w:sz w:val="22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4" w:type="paragraph">
    <w:name w:val="toc 2"/>
    <w:next w:val="Style_2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Основной шрифт абзаца1"/>
    <w:link w:val="Style_5_ch"/>
  </w:style>
  <w:style w:styleId="Style_5_ch" w:type="character">
    <w:name w:val="Основной шрифт абзаца1"/>
    <w:link w:val="Style_5"/>
  </w:style>
  <w:style w:styleId="Style_6" w:type="paragraph">
    <w:name w:val="toc 4"/>
    <w:next w:val="Style_2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Обычный1"/>
    <w:link w:val="Style_9_ch"/>
    <w:rPr>
      <w:sz w:val="28"/>
    </w:rPr>
  </w:style>
  <w:style w:styleId="Style_9_ch" w:type="character">
    <w:name w:val="Обычный1"/>
    <w:link w:val="Style_9"/>
    <w:rPr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basedOn w:val="Style_2"/>
    <w:next w:val="Style_2"/>
    <w:link w:val="Style_11_ch"/>
    <w:uiPriority w:val="9"/>
    <w:qFormat/>
    <w:pPr>
      <w:keepNext w:val="1"/>
      <w:widowControl w:val="0"/>
      <w:ind/>
      <w:jc w:val="center"/>
      <w:outlineLvl w:val="2"/>
    </w:pPr>
  </w:style>
  <w:style w:styleId="Style_11_ch" w:type="character">
    <w:name w:val="heading 3"/>
    <w:basedOn w:val="Style_2_ch"/>
    <w:link w:val="Style_11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Body Text"/>
    <w:basedOn w:val="Style_2"/>
    <w:link w:val="Style_13_ch"/>
    <w:pPr>
      <w:widowControl w:val="0"/>
      <w:ind/>
      <w:jc w:val="both"/>
    </w:pPr>
  </w:style>
  <w:style w:styleId="Style_13_ch" w:type="character">
    <w:name w:val="Body Text"/>
    <w:basedOn w:val="Style_2_ch"/>
    <w:link w:val="Style_13"/>
  </w:style>
  <w:style w:styleId="Style_14" w:type="paragraph">
    <w:name w:val="Гиперссылка1"/>
    <w:link w:val="Style_14_ch"/>
    <w:rPr>
      <w:color w:val="0000FF"/>
      <w:u w:val="single"/>
    </w:rPr>
  </w:style>
  <w:style w:styleId="Style_14_ch" w:type="character">
    <w:name w:val="Гиперссылка1"/>
    <w:link w:val="Style_14"/>
    <w:rPr>
      <w:color w:val="0000FF"/>
      <w:u w:val="single"/>
    </w:rPr>
  </w:style>
  <w:style w:styleId="Style_15" w:type="paragraph">
    <w:name w:val="Обычный1"/>
    <w:link w:val="Style_15_ch"/>
    <w:rPr>
      <w:sz w:val="28"/>
    </w:rPr>
  </w:style>
  <w:style w:styleId="Style_15_ch" w:type="character">
    <w:name w:val="Обычный1"/>
    <w:link w:val="Style_15"/>
    <w:rPr>
      <w:sz w:val="28"/>
    </w:rPr>
  </w:style>
  <w:style w:styleId="Style_16" w:type="paragraph">
    <w:name w:val="Знак Знак Знак Знак"/>
    <w:basedOn w:val="Style_2"/>
    <w:link w:val="Style_16_ch"/>
    <w:pPr>
      <w:spacing w:after="160" w:line="240" w:lineRule="exact"/>
      <w:ind/>
    </w:pPr>
    <w:rPr>
      <w:rFonts w:ascii="Verdana" w:hAnsi="Verdana"/>
      <w:sz w:val="20"/>
    </w:rPr>
  </w:style>
  <w:style w:styleId="Style_16_ch" w:type="character">
    <w:name w:val="Знак Знак Знак Знак"/>
    <w:basedOn w:val="Style_2_ch"/>
    <w:link w:val="Style_16"/>
    <w:rPr>
      <w:rFonts w:ascii="Verdana" w:hAnsi="Verdana"/>
      <w:sz w:val="20"/>
    </w:rPr>
  </w:style>
  <w:style w:styleId="Style_17" w:type="paragraph">
    <w:name w:val="toc 3"/>
    <w:next w:val="Style_2"/>
    <w:link w:val="Style_17_ch"/>
    <w:uiPriority w:val="39"/>
    <w:pPr>
      <w:ind w:firstLine="0"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Balloon Text"/>
    <w:basedOn w:val="Style_2"/>
    <w:link w:val="Style_18_ch"/>
    <w:rPr>
      <w:rFonts w:ascii="Tahoma" w:hAnsi="Tahoma"/>
      <w:sz w:val="16"/>
    </w:rPr>
  </w:style>
  <w:style w:styleId="Style_18_ch" w:type="character">
    <w:name w:val="Balloon Text"/>
    <w:basedOn w:val="Style_2_ch"/>
    <w:link w:val="Style_18"/>
    <w:rPr>
      <w:rFonts w:ascii="Tahoma" w:hAnsi="Tahoma"/>
      <w:sz w:val="16"/>
    </w:rPr>
  </w:style>
  <w:style w:styleId="Style_19" w:type="paragraph">
    <w:name w:val="heading 5"/>
    <w:next w:val="Style_2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Основной шрифт абзаца2"/>
    <w:link w:val="Style_20_ch"/>
  </w:style>
  <w:style w:styleId="Style_20_ch" w:type="character">
    <w:name w:val="Основной шрифт абзаца2"/>
    <w:link w:val="Style_20"/>
  </w:style>
  <w:style w:styleId="Style_21" w:type="paragraph">
    <w:name w:val="heading 1"/>
    <w:basedOn w:val="Style_2"/>
    <w:next w:val="Style_2"/>
    <w:link w:val="Style_21_ch"/>
    <w:uiPriority w:val="9"/>
    <w:qFormat/>
    <w:pPr>
      <w:keepNext w:val="1"/>
      <w:spacing w:after="60" w:before="240"/>
      <w:ind/>
      <w:outlineLvl w:val="0"/>
    </w:pPr>
    <w:rPr>
      <w:rFonts w:ascii="Calibri Light" w:hAnsi="Calibri Light"/>
      <w:b w:val="1"/>
      <w:sz w:val="32"/>
    </w:rPr>
  </w:style>
  <w:style w:styleId="Style_21_ch" w:type="character">
    <w:name w:val="heading 1"/>
    <w:basedOn w:val="Style_2_ch"/>
    <w:link w:val="Style_21"/>
    <w:rPr>
      <w:rFonts w:ascii="Calibri Light" w:hAnsi="Calibri Light"/>
      <w:b w:val="1"/>
      <w:sz w:val="32"/>
    </w:rPr>
  </w:style>
  <w:style w:styleId="Style_22" w:type="paragraph">
    <w:name w:val="Гиперссылка2"/>
    <w:link w:val="Style_22_ch"/>
    <w:rPr>
      <w:color w:val="0000FF"/>
      <w:u w:val="single"/>
    </w:rPr>
  </w:style>
  <w:style w:styleId="Style_22_ch" w:type="character">
    <w:name w:val="Гиперссылка2"/>
    <w:link w:val="Style_22"/>
    <w:rPr>
      <w:color w:val="0000FF"/>
      <w:u w:val="single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2"/>
    <w:link w:val="Style_25_ch"/>
    <w:uiPriority w:val="39"/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ind/>
      <w:jc w:val="both"/>
    </w:pPr>
    <w:rPr>
      <w:rFonts w:ascii="XO Thames" w:hAnsi="XO Thames"/>
    </w:rPr>
  </w:style>
  <w:style w:styleId="Style_26_ch" w:type="character">
    <w:name w:val="Header and Footer"/>
    <w:link w:val="Style_26"/>
    <w:rPr>
      <w:rFonts w:ascii="XO Thames" w:hAnsi="XO Thames"/>
    </w:rPr>
  </w:style>
  <w:style w:styleId="Style_27" w:type="paragraph">
    <w:name w:val="Основной шрифт абзаца1"/>
    <w:link w:val="Style_27_ch"/>
  </w:style>
  <w:style w:styleId="Style_27_ch" w:type="character">
    <w:name w:val="Основной шрифт абзаца1"/>
    <w:link w:val="Style_27"/>
  </w:style>
  <w:style w:styleId="Style_28" w:type="paragraph">
    <w:name w:val="Гиперссылка1"/>
    <w:link w:val="Style_28_ch"/>
    <w:rPr>
      <w:color w:val="0000FF"/>
      <w:u w:val="single"/>
    </w:rPr>
  </w:style>
  <w:style w:styleId="Style_28_ch" w:type="character">
    <w:name w:val="Гиперссылка1"/>
    <w:link w:val="Style_28"/>
    <w:rPr>
      <w:color w:val="0000FF"/>
      <w:u w:val="single"/>
    </w:rPr>
  </w:style>
  <w:style w:styleId="Style_29" w:type="paragraph">
    <w:name w:val="toc 9"/>
    <w:next w:val="Style_2"/>
    <w:link w:val="Style_29_ch"/>
    <w:uiPriority w:val="39"/>
    <w:pPr>
      <w:ind w:firstLine="0" w:left="1600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2"/>
    <w:link w:val="Style_30_ch"/>
    <w:uiPriority w:val="39"/>
    <w:pPr>
      <w:ind w:firstLine="0" w:left="1400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footer"/>
    <w:basedOn w:val="Style_2"/>
    <w:link w:val="Style_31_ch"/>
    <w:pPr>
      <w:tabs>
        <w:tab w:leader="none" w:pos="4677" w:val="center"/>
        <w:tab w:leader="none" w:pos="9355" w:val="right"/>
      </w:tabs>
      <w:ind/>
    </w:pPr>
  </w:style>
  <w:style w:styleId="Style_31_ch" w:type="character">
    <w:name w:val="footer"/>
    <w:basedOn w:val="Style_2_ch"/>
    <w:link w:val="Style_31"/>
  </w:style>
  <w:style w:styleId="Style_32" w:type="paragraph">
    <w:name w:val="toc 5"/>
    <w:next w:val="Style_2"/>
    <w:link w:val="Style_32_ch"/>
    <w:uiPriority w:val="39"/>
    <w:pPr>
      <w:ind w:firstLine="0" w:left="800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Обычный1"/>
    <w:link w:val="Style_33_ch"/>
    <w:rPr>
      <w:sz w:val="28"/>
    </w:rPr>
  </w:style>
  <w:style w:styleId="Style_33_ch" w:type="character">
    <w:name w:val="Обычный1"/>
    <w:link w:val="Style_33"/>
    <w:rPr>
      <w:sz w:val="28"/>
    </w:rPr>
  </w:style>
  <w:style w:styleId="Style_34" w:type="paragraph">
    <w:name w:val="Subtitle"/>
    <w:next w:val="Style_2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Знак"/>
    <w:basedOn w:val="Style_2"/>
    <w:link w:val="Style_35_ch"/>
    <w:pPr>
      <w:spacing w:after="160" w:line="240" w:lineRule="exact"/>
      <w:ind/>
    </w:pPr>
    <w:rPr>
      <w:rFonts w:ascii="Verdana" w:hAnsi="Verdana"/>
      <w:sz w:val="20"/>
    </w:rPr>
  </w:style>
  <w:style w:styleId="Style_35_ch" w:type="character">
    <w:name w:val="Знак"/>
    <w:basedOn w:val="Style_2_ch"/>
    <w:link w:val="Style_35"/>
    <w:rPr>
      <w:rFonts w:ascii="Verdana" w:hAnsi="Verdana"/>
      <w:sz w:val="20"/>
    </w:rPr>
  </w:style>
  <w:style w:styleId="Style_36" w:type="paragraph">
    <w:name w:val="Title"/>
    <w:next w:val="Style_2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next w:val="Style_2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heading 2"/>
    <w:basedOn w:val="Style_2"/>
    <w:next w:val="Style_2"/>
    <w:link w:val="Style_38_ch"/>
    <w:uiPriority w:val="9"/>
    <w:qFormat/>
    <w:pPr>
      <w:keepNext w:val="1"/>
      <w:spacing w:after="60" w:before="240"/>
      <w:ind/>
      <w:outlineLvl w:val="1"/>
    </w:pPr>
    <w:rPr>
      <w:rFonts w:ascii="Calibri Light" w:hAnsi="Calibri Light"/>
      <w:b w:val="1"/>
      <w:i w:val="1"/>
    </w:rPr>
  </w:style>
  <w:style w:styleId="Style_38_ch" w:type="character">
    <w:name w:val="heading 2"/>
    <w:basedOn w:val="Style_2_ch"/>
    <w:link w:val="Style_38"/>
    <w:rPr>
      <w:rFonts w:ascii="Calibri Light" w:hAnsi="Calibri Light"/>
      <w:b w:val="1"/>
      <w:i w:val="1"/>
    </w:rPr>
  </w:style>
  <w:style w:styleId="Style_39" w:type="table">
    <w:name w:val="Table Grid"/>
    <w:basedOn w:val="Style_40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2025-01-16T02:13:03Z</dcterms:modified>
</cp:coreProperties>
</file>