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B05" w:rsidRDefault="009F66B3">
      <w:r>
        <w:t>За истекший период 3 кварталов 2024 года по социально-значимым тематикам в адрес Министерства труда и развития кадрового потенциала Камчатского края поступило 132 обращения, которые были рассмотрены в установленный законом срок.</w:t>
      </w:r>
      <w:bookmarkStart w:id="0" w:name="_GoBack"/>
      <w:bookmarkEnd w:id="0"/>
    </w:p>
    <w:sectPr w:rsidR="00AC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B3"/>
    <w:rsid w:val="009F66B3"/>
    <w:rsid w:val="00AC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6F36"/>
  <w15:chartTrackingRefBased/>
  <w15:docId w15:val="{2CBB6652-5C5D-41D3-8833-D649D6B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 Александр Михайлович</dc:creator>
  <cp:keywords/>
  <dc:description/>
  <cp:lastModifiedBy>Тихонов Александр Михайлович</cp:lastModifiedBy>
  <cp:revision>1</cp:revision>
  <dcterms:created xsi:type="dcterms:W3CDTF">2024-11-18T21:46:00Z</dcterms:created>
  <dcterms:modified xsi:type="dcterms:W3CDTF">2024-11-18T21:48:00Z</dcterms:modified>
</cp:coreProperties>
</file>