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ТРУДА И РАЗВИТИЯ КАДРОВОГО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ПОТЕНЦИАЛА КАМЧАТСКОГО КРАЯ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4"/>
        </w:rPr>
      </w:pPr>
    </w:p>
    <w:p w14:paraId="0C000000">
      <w:pPr>
        <w:spacing w:after="0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Ind w:type="dxa" w:w="-142"/>
        <w:tblLayout w:type="fixed"/>
      </w:tblPr>
      <w:tblGrid>
        <w:gridCol w:w="1985"/>
        <w:gridCol w:w="425"/>
        <w:gridCol w:w="1985"/>
      </w:tblGrid>
      <w:tr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D000000">
            <w:pPr>
              <w:spacing w:after="0"/>
              <w:ind w:right="34"/>
              <w:jc w:val="center"/>
              <w:rPr>
                <w:rFonts w:ascii="Times New Roman" w:hAnsi="Times New Roman"/>
                <w:sz w:val="20"/>
              </w:rPr>
            </w:pPr>
            <w:bookmarkStart w:id="1" w:name="REGDATE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18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регистрации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1"/>
          </w:p>
        </w:tc>
        <w:tc>
          <w:tcPr>
            <w:tcW w:type="dxa" w:w="425"/>
          </w:tcPr>
          <w:p w14:paraId="0E000000">
            <w:pPr>
              <w:spacing w:after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F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bookmarkStart w:id="2" w:name="REGNUM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18"/>
              </w:rPr>
              <w:t>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документа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2"/>
          </w:p>
        </w:tc>
      </w:tr>
    </w:tbl>
    <w:p w14:paraId="10000000">
      <w:pPr>
        <w:spacing w:after="0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11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</w:tblPr>
      <w:tblGrid>
        <w:gridCol w:w="10050"/>
      </w:tblGrid>
      <w:tr>
        <w:trPr>
          <w:trHeight w:hRule="exact" w:val="1430"/>
        </w:trPr>
        <w:tc>
          <w:tcPr>
            <w:tcW w:type="dxa" w:w="10050"/>
            <w:shd w:fill="auto" w:val="clea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 утверждении Программы профилактики </w:t>
            </w:r>
            <w:r>
              <w:rPr>
                <w:rFonts w:ascii="Times New Roman" w:hAnsi="Times New Roman"/>
                <w:b w:val="1"/>
                <w:sz w:val="28"/>
              </w:rPr>
              <w:t>рисков причинения вреда (ущерба) охраняемым законом ценностям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 xml:space="preserve">на </w:t>
            </w:r>
            <w:r>
              <w:rPr>
                <w:rFonts w:ascii="Times New Roman" w:hAnsi="Times New Roman"/>
                <w:b w:val="1"/>
                <w:sz w:val="28"/>
              </w:rPr>
              <w:t>202</w:t>
            </w:r>
            <w:r>
              <w:rPr>
                <w:rFonts w:ascii="Times New Roman" w:hAnsi="Times New Roman"/>
                <w:b w:val="1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</w:t>
            </w:r>
          </w:p>
        </w:tc>
      </w:tr>
    </w:tbl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31.07.2020 № 248-ФЗ                                                </w:t>
      </w:r>
      <w:r>
        <w:rPr>
          <w:rFonts w:ascii="Times New Roman" w:hAnsi="Times New Roman"/>
          <w:sz w:val="28"/>
        </w:rPr>
        <w:t xml:space="preserve">   «</w:t>
      </w:r>
      <w:r>
        <w:rPr>
          <w:rFonts w:ascii="Times New Roman" w:hAnsi="Times New Roman"/>
          <w:sz w:val="28"/>
        </w:rPr>
        <w:t>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 w14:paraId="15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Утвердить Программу </w:t>
      </w:r>
      <w:r>
        <w:rPr>
          <w:rFonts w:ascii="Times New Roman" w:hAnsi="Times New Roman"/>
          <w:sz w:val="28"/>
        </w:rPr>
        <w:t xml:space="preserve">профилактики </w:t>
      </w:r>
      <w:r>
        <w:rPr>
          <w:rFonts w:ascii="Times New Roman" w:hAnsi="Times New Roman"/>
          <w:sz w:val="28"/>
        </w:rPr>
        <w:t xml:space="preserve">рисков причинения вреда (ущерба) охраняемым законом ценностям на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согласно приложению.</w:t>
      </w:r>
    </w:p>
    <w:p w14:paraId="19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Настоящий приказ вступает в силу с 01.01.202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</w:p>
    <w:p w14:paraId="1A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Признать утратившим силу</w:t>
      </w:r>
      <w:r>
        <w:rPr>
          <w:rFonts w:ascii="Times New Roman" w:hAnsi="Times New Roman"/>
          <w:sz w:val="28"/>
        </w:rPr>
        <w:t xml:space="preserve"> с 01.01.2025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приказ Министерства труда и развития кадрового потенциала Камчатского края от </w:t>
      </w:r>
      <w:r>
        <w:rPr>
          <w:rFonts w:ascii="Times New Roman" w:hAnsi="Times New Roman"/>
          <w:sz w:val="28"/>
        </w:rPr>
        <w:t>19.12.202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№ 344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Программы профилактики рисков причинения вреда (ущерба) охраняемым законом ценностям на 2024 год</w:t>
      </w:r>
      <w:r>
        <w:rPr>
          <w:rFonts w:ascii="Times New Roman" w:hAnsi="Times New Roman"/>
          <w:sz w:val="28"/>
        </w:rPr>
        <w:t>».</w:t>
      </w:r>
    </w:p>
    <w:p w14:paraId="1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Контроль за исполнением настоящего приказа возложить на </w:t>
      </w:r>
      <w:r>
        <w:rPr>
          <w:rFonts w:ascii="Times New Roman" w:hAnsi="Times New Roman"/>
          <w:sz w:val="28"/>
        </w:rPr>
        <w:t xml:space="preserve">                 Корнейчук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., начальника отдела </w:t>
      </w:r>
      <w:r>
        <w:rPr>
          <w:rFonts w:ascii="Times New Roman" w:hAnsi="Times New Roman"/>
          <w:sz w:val="28"/>
        </w:rPr>
        <w:t>организационно-правового обеспечения и 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труда и развития кадрового потенциала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>.</w:t>
      </w:r>
    </w:p>
    <w:p w14:paraId="1C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2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403"/>
        <w:gridCol w:w="3260"/>
        <w:gridCol w:w="3544"/>
      </w:tblGrid>
      <w:tr>
        <w:tc>
          <w:tcPr>
            <w:tcW w:type="dxa" w:w="340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2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F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D9D9D9"/>
                <w:sz w:val="28"/>
              </w:rPr>
              <w:t>[горизонтальный штамп подписи 1]</w:t>
            </w:r>
          </w:p>
        </w:tc>
        <w:tc>
          <w:tcPr>
            <w:tcW w:type="dxa" w:w="354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spacing w:line="216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Н.Б. Ниценко</w:t>
            </w:r>
          </w:p>
        </w:tc>
      </w:tr>
    </w:tbl>
    <w:p w14:paraId="21000000">
      <w:pPr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 w:firstLine="0" w:left="59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23000000">
      <w:pPr>
        <w:spacing w:after="0" w:line="240" w:lineRule="auto"/>
        <w:ind w:firstLine="0" w:left="59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приказу Министерства труда и развития кадрового потенциала Камчатского края</w:t>
      </w:r>
    </w:p>
    <w:p w14:paraId="24000000">
      <w:pPr>
        <w:spacing w:after="0" w:line="240" w:lineRule="auto"/>
        <w:ind w:firstLine="0" w:left="59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color w:themeColor="background2" w:val="EEECE1"/>
          <w:sz w:val="28"/>
        </w:rPr>
        <w:t>Дата регистрации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color w:themeColor="background2" w:val="EEECE1"/>
          <w:sz w:val="28"/>
        </w:rPr>
        <w:t>Номер документа</w:t>
      </w: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before="6" w:line="252" w:lineRule="auto"/>
        <w:ind w:firstLine="9" w:left="293" w:right="185"/>
        <w:jc w:val="center"/>
        <w:rPr>
          <w:rFonts w:ascii="Times New Roman" w:hAnsi="Times New Roman"/>
          <w:color w:val="1F1D26"/>
          <w:sz w:val="28"/>
        </w:rPr>
      </w:pPr>
      <w:r>
        <w:rPr>
          <w:rFonts w:ascii="Times New Roman" w:hAnsi="Times New Roman"/>
          <w:color w:val="1F1D26"/>
          <w:sz w:val="28"/>
        </w:rPr>
        <w:t>Программа</w:t>
      </w:r>
      <w:r>
        <w:rPr>
          <w:rFonts w:ascii="Times New Roman" w:hAnsi="Times New Roman"/>
          <w:color w:val="1F1D26"/>
          <w:sz w:val="28"/>
        </w:rPr>
        <w:t xml:space="preserve"> </w:t>
      </w:r>
    </w:p>
    <w:p w14:paraId="27000000">
      <w:pPr>
        <w:spacing w:after="0" w:before="6" w:line="252" w:lineRule="auto"/>
        <w:ind w:firstLine="9" w:left="293" w:right="185"/>
        <w:jc w:val="center"/>
        <w:rPr>
          <w:rFonts w:ascii="Calibri" w:hAnsi="Calibri"/>
          <w:sz w:val="27"/>
        </w:rPr>
      </w:pPr>
      <w:r>
        <w:rPr>
          <w:rFonts w:ascii="Times New Roman" w:hAnsi="Times New Roman"/>
          <w:color w:val="1F1D26"/>
          <w:sz w:val="28"/>
        </w:rPr>
        <w:t>профилактики рисков причинения вреда (ущерба) охраняемым законом ценностям на 202</w:t>
      </w:r>
      <w:r>
        <w:rPr>
          <w:rFonts w:ascii="Times New Roman" w:hAnsi="Times New Roman"/>
          <w:color w:val="1F1D26"/>
          <w:sz w:val="28"/>
        </w:rPr>
        <w:t>5</w:t>
      </w:r>
      <w:r>
        <w:rPr>
          <w:rFonts w:ascii="Times New Roman" w:hAnsi="Times New Roman"/>
          <w:color w:val="1F1D26"/>
          <w:sz w:val="28"/>
        </w:rPr>
        <w:t xml:space="preserve"> год</w:t>
      </w:r>
    </w:p>
    <w:p w14:paraId="28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29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ПАСПОРТ ПРОГРАММЫ </w:t>
      </w:r>
    </w:p>
    <w:p w14:paraId="2A000000">
      <w:pPr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76"/>
        <w:gridCol w:w="7480"/>
      </w:tblGrid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</w:t>
            </w:r>
            <w:r>
              <w:rPr>
                <w:rFonts w:ascii="Times New Roman" w:hAnsi="Times New Roman"/>
                <w:sz w:val="24"/>
              </w:rPr>
              <w:t>грамма профилактики рисков причинения вреда (ущерба) охраняемым законом ценностям в сфере регионального государственного контроля (надзора) за приемом на работу инвалидов в пределах установленной квоты на 2025 год (далее – программа профилактики)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Правовые</w:t>
            </w:r>
            <w:r>
              <w:rPr>
                <w:rFonts w:ascii="Times New Roman" w:hAnsi="Times New Roman"/>
                <w:sz w:val="24"/>
              </w:rPr>
              <w:t xml:space="preserve"> основания разработки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/>
              <w:ind w:hanging="14" w:left="1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закон от 31.07.2020 № 248-ФЗ «О государственном контроле (надзоре) и муниципальном контроле в Российской Федерации» (далее – Федеральный закон № 248-ФЗ);</w:t>
            </w:r>
          </w:p>
          <w:p w14:paraId="2F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Правительства Российской Федерации от 25.06.</w:t>
            </w:r>
            <w:r>
              <w:rPr>
                <w:rFonts w:ascii="Times New Roman" w:hAnsi="Times New Roman"/>
                <w:sz w:val="24"/>
              </w:rPr>
              <w:t>2021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Разработчик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труда и развития кадрового потенциала К</w:t>
            </w:r>
            <w:r>
              <w:rPr>
                <w:rFonts w:ascii="Times New Roman" w:hAnsi="Times New Roman"/>
                <w:sz w:val="24"/>
              </w:rPr>
              <w:t>амчатского края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повышение эффективности осуществления контрольной (надзорной) деятельности;</w:t>
            </w:r>
          </w:p>
          <w:p w14:paraId="34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стимулирование добросовестного соблюдения обязательных требований в области квотирования рабочих мест, нормативными правовыми актами Камчатско</w:t>
            </w:r>
            <w:r>
              <w:rPr>
                <w:rFonts w:ascii="Times New Roman" w:hAnsi="Times New Roman"/>
                <w:sz w:val="24"/>
              </w:rPr>
              <w:t>го края (далее – обязательные требования), всеми контролируемыми лицами;</w:t>
            </w:r>
          </w:p>
          <w:p w14:paraId="35000000">
            <w:pPr>
              <w:tabs>
                <w:tab w:leader="none" w:pos="334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создание условий для доведения обязательных требований до контролируемых лиц, повышение информированности о способах их соблюдения;</w:t>
            </w:r>
          </w:p>
          <w:p w14:paraId="36000000">
            <w:pPr>
              <w:tabs>
                <w:tab w:leader="none" w:pos="334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</w:t>
            </w:r>
            <w:r>
              <w:rPr>
                <w:rFonts w:ascii="Times New Roman" w:hAnsi="Times New Roman"/>
                <w:sz w:val="24"/>
              </w:rPr>
              <w:t xml:space="preserve"> выполнение контролируемыми лицами установленной квоты для приема на работу инвалидов в полном объеме;</w:t>
            </w:r>
          </w:p>
          <w:p w14:paraId="37000000">
            <w:pPr>
              <w:tabs>
                <w:tab w:leader="none" w:pos="334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 снижение административной нагрузки на работодателей;</w:t>
            </w:r>
          </w:p>
          <w:p w14:paraId="38000000">
            <w:pPr>
              <w:tabs>
                <w:tab w:leader="none" w:pos="334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6) снижение напряженности на региональном рынке труда среди граждан, имеющих инвалидность и повыш</w:t>
            </w:r>
            <w:r>
              <w:rPr>
                <w:rFonts w:ascii="Times New Roman" w:hAnsi="Times New Roman"/>
                <w:sz w:val="24"/>
              </w:rPr>
              <w:t>ение занятости граждан, имеющих инвалидность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установление и оценка зависимости видов, форм и интенсивности профилактических мероприятий от особенностей объектов контроля, </w:t>
            </w:r>
            <w:r>
              <w:rPr>
                <w:rFonts w:ascii="Times New Roman" w:hAnsi="Times New Roman"/>
                <w:sz w:val="24"/>
              </w:rPr>
              <w:t>проведение профилактических мероприятий с учетом данных факторов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3B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повышение квалификации должностных лиц органов исполнительной власти, осуществляющих региональный государственный контроль (надзор) за приемом на работу инвалидов в пределах установленной квоты (далее – государственный контроль (надзор);</w:t>
            </w:r>
          </w:p>
          <w:p w14:paraId="3C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использова</w:t>
            </w:r>
            <w:r>
              <w:rPr>
                <w:rFonts w:ascii="Times New Roman" w:hAnsi="Times New Roman"/>
                <w:sz w:val="24"/>
              </w:rPr>
              <w:t>ние современных информационно-телекоммуникационных технологий при проведении профилактических мероприятий;</w:t>
            </w:r>
          </w:p>
          <w:p w14:paraId="3D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осуществление планирования проведения профилактических мероприятий на основе принципов их понятности, информационной открытости, полноты охвата им</w:t>
            </w:r>
            <w:r>
              <w:rPr>
                <w:rFonts w:ascii="Times New Roman" w:hAnsi="Times New Roman"/>
                <w:sz w:val="24"/>
              </w:rPr>
              <w:t xml:space="preserve">и максимального количества контролируемых лиц </w:t>
            </w:r>
          </w:p>
        </w:tc>
      </w:tr>
      <w:tr>
        <w:trPr>
          <w:trHeight w:hRule="atLeast" w:val="642"/>
        </w:trP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01.01.2025 - 31.12.2025</w:t>
            </w:r>
          </w:p>
        </w:tc>
      </w:tr>
      <w:tr>
        <w:trPr>
          <w:trHeight w:hRule="atLeast" w:val="567"/>
        </w:trP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финансирования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конечные результаты реализации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tabs>
                <w:tab w:leader="none" w:pos="346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снижение рисков причинения вреда охраняемым законом </w:t>
            </w:r>
            <w:r>
              <w:rPr>
                <w:rFonts w:ascii="Times New Roman" w:hAnsi="Times New Roman"/>
                <w:sz w:val="24"/>
              </w:rPr>
              <w:t>ценностям;</w:t>
            </w:r>
          </w:p>
          <w:p w14:paraId="44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увеличение доли законопослушных контролируемых лиц;</w:t>
            </w:r>
          </w:p>
          <w:p w14:paraId="45000000">
            <w:pPr>
              <w:tabs>
                <w:tab w:leader="none" w:pos="259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обеспечение квалифицированной профилактической работы должностных лиц государственного контроля (надзора);</w:t>
            </w:r>
          </w:p>
          <w:p w14:paraId="46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повышение прозрачности профилактической деятельности государственного контрол</w:t>
            </w:r>
            <w:r>
              <w:rPr>
                <w:rFonts w:ascii="Times New Roman" w:hAnsi="Times New Roman"/>
                <w:sz w:val="24"/>
              </w:rPr>
              <w:t>я (надзора);</w:t>
            </w:r>
          </w:p>
          <w:p w14:paraId="47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 уменьшение административной нагрузки на контролируемых лиц;</w:t>
            </w:r>
          </w:p>
          <w:p w14:paraId="48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6) повышение уровня правовой грамотности контролируемых лиц;</w:t>
            </w:r>
          </w:p>
          <w:p w14:paraId="49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7) обеспечение единообразия понимания предмета контроля контролируемыми лицами;</w:t>
            </w:r>
          </w:p>
          <w:p w14:paraId="4A000000">
            <w:pPr>
              <w:tabs>
                <w:tab w:leader="none" w:pos="259" w:val="left"/>
              </w:tabs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8) мотивация контролируемых лиц к добро</w:t>
            </w:r>
            <w:r>
              <w:rPr>
                <w:rFonts w:ascii="Times New Roman" w:hAnsi="Times New Roman"/>
                <w:sz w:val="24"/>
              </w:rPr>
              <w:t>совестному поведению;</w:t>
            </w:r>
          </w:p>
          <w:p w14:paraId="4B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и) выполнение контролируемыми лицами установленной квоты для приема на работу инвалидов в полном объеме</w:t>
            </w:r>
          </w:p>
        </w:tc>
      </w:tr>
      <w:tr>
        <w:tc>
          <w:tcPr>
            <w:tcW w:type="dxa" w:w="2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программы</w:t>
            </w:r>
          </w:p>
        </w:tc>
        <w:tc>
          <w:tcPr>
            <w:tcW w:type="dxa" w:w="7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1. Анализ текущего состояния осуществления регионального государственного контроля (надзора) за приемо</w:t>
            </w:r>
            <w:r>
              <w:rPr>
                <w:rFonts w:ascii="Times New Roman" w:hAnsi="Times New Roman"/>
                <w:sz w:val="24"/>
              </w:rPr>
              <w:t>м на работу инвалидов в пределах установленной квоты</w:t>
            </w:r>
          </w:p>
          <w:p w14:paraId="4E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Описание текущего развития профилактической деятельности государственного контроля (надзора)</w:t>
            </w:r>
          </w:p>
          <w:p w14:paraId="4F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Характеристика проблем, на решение которых направлена программа профилактики</w:t>
            </w:r>
          </w:p>
          <w:p w14:paraId="50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2. Цели и задачи реа</w:t>
            </w:r>
            <w:r>
              <w:rPr>
                <w:rFonts w:ascii="Times New Roman" w:hAnsi="Times New Roman"/>
                <w:sz w:val="24"/>
              </w:rPr>
              <w:t>лизации программы профилактики</w:t>
            </w:r>
          </w:p>
          <w:p w14:paraId="51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3. Перечень профилактических мероприятий, сроки (периодичность) их проведения</w:t>
            </w:r>
          </w:p>
          <w:p w14:paraId="52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4. Показатели результативности и эффективности программы профилактики</w:t>
            </w:r>
          </w:p>
        </w:tc>
      </w:tr>
    </w:tbl>
    <w:p w14:paraId="5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Анализ </w:t>
      </w:r>
      <w:r>
        <w:rPr>
          <w:rFonts w:ascii="Times New Roman" w:hAnsi="Times New Roman"/>
          <w:sz w:val="28"/>
        </w:rPr>
        <w:t xml:space="preserve">текущего состояния осуществления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егиональн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ого контроля</w:t>
      </w:r>
      <w:r>
        <w:rPr>
          <w:rFonts w:ascii="Times New Roman" w:hAnsi="Times New Roman"/>
          <w:sz w:val="28"/>
        </w:rPr>
        <w:t xml:space="preserve"> (надзор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за приемом на работу инвалидов в пределах установленной квоты</w:t>
      </w:r>
    </w:p>
    <w:p w14:paraId="5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Квотирование рабочих мест для инвалидов - один из видов социальной поддержки государством незащищенных слоев населения. Установив обязанность по созданию (выделению) квотируемых рабочих мест в организациях независимо от организационно-правовой формы и формы собственности, государство обеспечило равный доступ к труду для инвалидов. Обязанность по квотированию рабочих мест для трудоустройства инвалидов установлена Законом Российской Федерации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19 апреля 1991 года № 1032-1 «О занятости населения в Российской Федерации» (далее - Закон о занятости населения), согласно которому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аботодатели содействуют проведению государственной политики занятости населения на основе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соблюдения установленной квоты для трудоустройства инвалидов</w:t>
      </w:r>
      <w:r>
        <w:rPr>
          <w:rFonts w:ascii="Times New Roman" w:hAnsi="Times New Roman"/>
          <w:sz w:val="28"/>
        </w:rPr>
        <w:t>, которая</w:t>
      </w:r>
      <w:r>
        <w:rPr>
          <w:rFonts w:ascii="Times New Roman" w:hAnsi="Times New Roman"/>
          <w:sz w:val="28"/>
        </w:rPr>
        <w:t xml:space="preserve"> устанавливается в соответствии с</w:t>
      </w:r>
      <w:r>
        <w:rPr>
          <w:rFonts w:ascii="Times New Roman" w:hAnsi="Times New Roman"/>
          <w:sz w:val="28"/>
        </w:rPr>
        <w:t>о статьей 13.2 Закона о занятости населения</w:t>
      </w:r>
      <w:r>
        <w:rPr>
          <w:rFonts w:ascii="Times New Roman" w:hAnsi="Times New Roman"/>
          <w:sz w:val="28"/>
        </w:rPr>
        <w:t>. 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указанной </w:t>
      </w:r>
      <w:r>
        <w:rPr>
          <w:rFonts w:ascii="Times New Roman" w:hAnsi="Times New Roman"/>
          <w:sz w:val="28"/>
        </w:rPr>
        <w:t xml:space="preserve"> статье</w:t>
      </w:r>
      <w:r>
        <w:rPr>
          <w:rFonts w:ascii="Times New Roman" w:hAnsi="Times New Roman"/>
          <w:sz w:val="28"/>
        </w:rPr>
        <w:t xml:space="preserve"> работодателям, численность работников которых: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превышает 100 человек,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работников;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составляет не менее чем 35 человек и не более чем 100 человек,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работников.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Камчатского края квотирование рабочих мест регламентируется Законом Камчатского края от 11.06.2009 № 284                                        «О квотировании в Камчатском крае рабочих мест для отдельных категорий граждан, испытывающих трудности в поиске работы» (далее - Закон о квотировании), согласно которому квота для инвалидов устанавливается работодателям, численность работников которых составляет более 100 человек, в размере 2 процентов среднесписочной численности работников, а численность работников которых составляет не менее чем 35 человек и не более чем 100 человек, в размере 3 процентов среднесписочной численности работников.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_GoBack"/>
      <w:bookmarkEnd w:id="3"/>
      <w:r>
        <w:rPr>
          <w:rFonts w:ascii="Times New Roman" w:hAnsi="Times New Roman"/>
          <w:sz w:val="28"/>
        </w:rPr>
        <w:t>На территории Камчатского края осуществляет деятельность 621 подконтрольный субъект.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контроля за исполнением работодателями обязательных требований, а также в целях привлечения допустивших нарушения обязательных требований работодателей к ответственности, Законом о занятости населения органы государственной власти субъекта Российской Федерации в области содействия занятости наделены полномочиями по осуществлению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егиональн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ого контроля</w:t>
      </w:r>
      <w:r>
        <w:rPr>
          <w:rFonts w:ascii="Times New Roman" w:hAnsi="Times New Roman"/>
          <w:sz w:val="28"/>
        </w:rPr>
        <w:t xml:space="preserve"> (надзор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за приемом на работу инвалидов в пределах установленной квоты</w:t>
      </w:r>
      <w:r>
        <w:rPr>
          <w:rFonts w:ascii="Times New Roman" w:hAnsi="Times New Roman"/>
          <w:sz w:val="28"/>
        </w:rPr>
        <w:t>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Камчатском крае таким органом в соответствии с постановлением Правительства Камчатского края от 31.03.2023 № 179-П является Министерство</w:t>
      </w:r>
      <w:r>
        <w:rPr>
          <w:rFonts w:ascii="Times New Roman" w:hAnsi="Times New Roman"/>
          <w:sz w:val="28"/>
        </w:rPr>
        <w:t xml:space="preserve"> труда и развития кадрового потенциала Камчатского края</w:t>
      </w:r>
      <w:r>
        <w:rPr>
          <w:rFonts w:ascii="Times New Roman" w:hAnsi="Times New Roman"/>
          <w:sz w:val="28"/>
        </w:rPr>
        <w:t>.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реализует указанное полномочие путем проведения плановых документарных проверок в отношении юридических лиц и индивидуальных предпринимателей.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01.01.2022 р</w:t>
      </w:r>
      <w:r>
        <w:rPr>
          <w:rFonts w:ascii="Times New Roman" w:hAnsi="Times New Roman"/>
          <w:sz w:val="28"/>
        </w:rPr>
        <w:t>егиональн</w:t>
      </w:r>
      <w:r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ый контроль</w:t>
      </w:r>
      <w:r>
        <w:rPr>
          <w:rFonts w:ascii="Times New Roman" w:hAnsi="Times New Roman"/>
          <w:sz w:val="28"/>
        </w:rPr>
        <w:t xml:space="preserve"> (надзор) за приемом на работу инвалидов в пределах установленной квоты</w:t>
      </w:r>
      <w:r>
        <w:rPr>
          <w:rFonts w:ascii="Times New Roman" w:hAnsi="Times New Roman"/>
          <w:sz w:val="28"/>
        </w:rPr>
        <w:t xml:space="preserve"> осуществляется в соответствии с положением </w:t>
      </w:r>
      <w:r>
        <w:rPr>
          <w:rFonts w:ascii="Times New Roman" w:hAnsi="Times New Roman"/>
          <w:sz w:val="28"/>
        </w:rPr>
        <w:t>о региональном государственном контроле (надзоре) за приемом на работу инвалидов в пределах установленной квоты в Камчатском крае</w:t>
      </w:r>
      <w:r>
        <w:rPr>
          <w:rFonts w:ascii="Times New Roman" w:hAnsi="Times New Roman"/>
          <w:sz w:val="28"/>
        </w:rPr>
        <w:t>, утвержденным постановлением Правительства Камчатского края от 21.09.2021 № 404-П.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Министерством проведено 5 плановых проверок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результатам которых протокол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об административн</w:t>
      </w:r>
      <w:r>
        <w:rPr>
          <w:rFonts w:ascii="Times New Roman" w:hAnsi="Times New Roman"/>
          <w:sz w:val="28"/>
        </w:rPr>
        <w:t>ых правонарушениях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части 1 статьи 5.42 КоАП РФ, статье </w:t>
      </w:r>
      <w:r>
        <w:rPr>
          <w:rFonts w:ascii="Times New Roman" w:hAnsi="Times New Roman"/>
          <w:sz w:val="28"/>
        </w:rPr>
        <w:t>19.7 КоАП РФ</w:t>
      </w:r>
      <w:r>
        <w:rPr>
          <w:rFonts w:ascii="Times New Roman" w:hAnsi="Times New Roman"/>
          <w:sz w:val="28"/>
        </w:rPr>
        <w:t xml:space="preserve"> не составлялись</w:t>
      </w:r>
      <w:r>
        <w:rPr>
          <w:rFonts w:ascii="Times New Roman" w:hAnsi="Times New Roman"/>
          <w:sz w:val="28"/>
        </w:rPr>
        <w:t>.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плановых контрольных мероприятий обусловлено принятием 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 в соответствии с которым</w:t>
      </w:r>
      <w:r>
        <w:rPr>
          <w:rFonts w:ascii="Times New Roman" w:hAnsi="Times New Roman"/>
          <w:sz w:val="28"/>
        </w:rPr>
        <w:t xml:space="preserve"> проведены мероприятия по </w:t>
      </w:r>
      <w:r>
        <w:rPr>
          <w:rFonts w:ascii="Times New Roman" w:hAnsi="Times New Roman"/>
          <w:sz w:val="28"/>
        </w:rPr>
        <w:t>внесению изменений в план проверок на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 в части исключения плановых проверок в отношении юридических лиц и индивидуальных предпринимателей</w:t>
      </w:r>
      <w:r>
        <w:rPr>
          <w:rFonts w:ascii="Times New Roman" w:hAnsi="Times New Roman"/>
          <w:sz w:val="28"/>
        </w:rPr>
        <w:t>.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в рамках профилактической работы в 2022 году направлено 55 предостережений работодателям о недопустимости нарушения обязательных требований законодательства о занятости и проведено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профилактических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4 публичных обсуждения правоприменительной практики.</w:t>
      </w:r>
    </w:p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и 2024 годах в связи с продолжением моратория на плановые проверки Министерством таких проверок не проводилось.</w:t>
      </w:r>
    </w:p>
    <w:p w14:paraId="6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2023 года направлено 121</w:t>
      </w:r>
      <w:r>
        <w:rPr>
          <w:rFonts w:ascii="Times New Roman" w:hAnsi="Times New Roman"/>
          <w:sz w:val="28"/>
        </w:rPr>
        <w:t xml:space="preserve"> предостережение работодателям о недопустимости нарушения обязательных требований законодательства о занятости населения и проведено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профилактических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4 публичных обсуждения правоприменительной практики, в том числе публичные слушания.</w:t>
      </w:r>
    </w:p>
    <w:p w14:paraId="6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проведено 28 профилактических визитов.</w:t>
      </w: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3 кварталов 2024 года направлено 59</w:t>
      </w:r>
      <w:r>
        <w:rPr>
          <w:rFonts w:ascii="Times New Roman" w:hAnsi="Times New Roman"/>
          <w:sz w:val="28"/>
        </w:rPr>
        <w:t xml:space="preserve"> предостережение работодателям о недопустимости нарушения обязательных требований законодательства о занятости населения и проведено 5</w:t>
      </w:r>
      <w:r>
        <w:rPr>
          <w:rFonts w:ascii="Times New Roman" w:hAnsi="Times New Roman"/>
          <w:sz w:val="28"/>
        </w:rPr>
        <w:t xml:space="preserve"> профилактических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которых 4 публичных обсуждения правоприменительной практики, в том числе публичные слушания.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проведено 13 профилактических визитов.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Субъектами профилактических мероприятий при осуществлении контроля и надзора по вопросу приема на работу инвалидов в пределах установленной квоты с правом проведения проверок и выдачи обязательных для исполнения предписаний являются работодатели Камчатского края независимо от организационно-правовых форм и форм собственности, численность работников для определения квоты которых составляет не менее чем 35 человек.</w:t>
      </w:r>
    </w:p>
    <w:p w14:paraId="68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Наиболее значимыми рисками для охраняемых законом ценностей являются:</w:t>
      </w:r>
    </w:p>
    <w:p w14:paraId="69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неисполнение работодателем обязанности по созданию (выделению) рабочих мест для трудоустройства инвалидов в соответствии с установленной квотой для приема на работу инвалидов;</w:t>
      </w:r>
    </w:p>
    <w:p w14:paraId="6A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отказ в приеме на работу инвалида в пределах установленной квоты;</w:t>
      </w:r>
    </w:p>
    <w:p w14:paraId="6B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несвоевременное представление информации о выполнении квоты для приема на работу инвалидов, предусмотренной законом, а также представление такой информации в неполном объеме и (или) в искаженном виде, что является нарушением части 3 статьи 25 Закона о занятости населения и влечет административную ответственность, предусмотренную статьей 19.7 КоАП РФ;</w:t>
      </w:r>
    </w:p>
    <w:p w14:paraId="6C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</w:t>
      </w:r>
      <w:r>
        <w:rPr>
          <w:rFonts w:ascii="Times New Roman" w:hAnsi="Times New Roman"/>
          <w:color w:val="000000"/>
          <w:sz w:val="28"/>
        </w:rPr>
        <w:t>е оформления в установленном порядке работодателем трудовых отношений с инвалидами в рамках исполнения обязанности по трудоустройству инвалидов в соответствии с установленной квотой</w:t>
      </w:r>
      <w:r>
        <w:rPr>
          <w:rFonts w:ascii="Times New Roman" w:hAnsi="Times New Roman"/>
          <w:color w:val="000000"/>
          <w:sz w:val="28"/>
        </w:rPr>
        <w:t>.</w:t>
      </w:r>
    </w:p>
    <w:p w14:paraId="6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Осуществление мероприятий Программы профилактики позволит снизить число нарушений обязательных требований</w:t>
      </w:r>
      <w:r>
        <w:rPr>
          <w:rFonts w:ascii="Times New Roman" w:hAnsi="Times New Roman"/>
          <w:sz w:val="28"/>
        </w:rPr>
        <w:t>.</w:t>
      </w:r>
    </w:p>
    <w:p w14:paraId="6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Наиболее актуальными нарушениями обязательных требований является непредоставление или несвоевременное предоставление и</w:t>
      </w:r>
      <w:r>
        <w:rPr>
          <w:rFonts w:ascii="Times New Roman" w:hAnsi="Times New Roman"/>
          <w:color w:val="000000"/>
          <w:sz w:val="28"/>
        </w:rPr>
        <w:t xml:space="preserve">нформации о выполнении квоты для приема на работу инвалидов, предусмотренной законом, и не </w:t>
      </w:r>
      <w:r>
        <w:rPr>
          <w:rFonts w:ascii="Times New Roman" w:hAnsi="Times New Roman"/>
          <w:color w:val="000000"/>
          <w:sz w:val="28"/>
        </w:rPr>
        <w:t>оформление в установленном порядке работодателем трудовых отношений с инвалидами в рамках исполнения обязанности по трудоустройству инвалидов в соответствии с установленной квотой.</w:t>
      </w: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0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Цели и задачи </w:t>
      </w:r>
      <w:r>
        <w:rPr>
          <w:rFonts w:ascii="Times New Roman" w:hAnsi="Times New Roman"/>
          <w:sz w:val="28"/>
        </w:rPr>
        <w:t>реализации Программы</w:t>
      </w:r>
    </w:p>
    <w:p w14:paraId="71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Целями реализации программы профилактики являются:</w:t>
      </w:r>
    </w:p>
    <w:p w14:paraId="72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стимулирование добросовестного соблюдения обязательных требований всеми контролируемыми лицами;</w:t>
      </w:r>
    </w:p>
    <w:p w14:paraId="73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74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выполнение контролируемыми лицами установленной квоты для приема на работу инвалидов в полном объеме;</w:t>
      </w:r>
    </w:p>
    <w:p w14:paraId="75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снижение административной нагрузки на работодателей;</w:t>
      </w:r>
    </w:p>
    <w:p w14:paraId="76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снижение напряженности на региональном рынке труда среди граждан, имеющих инвалидность</w:t>
      </w:r>
      <w:r>
        <w:rPr>
          <w:rFonts w:ascii="Times New Roman" w:hAnsi="Times New Roman"/>
          <w:color w:val="000000"/>
          <w:sz w:val="28"/>
        </w:rPr>
        <w:t xml:space="preserve"> и повышение их занятости</w:t>
      </w:r>
      <w:r>
        <w:rPr>
          <w:rFonts w:ascii="Times New Roman" w:hAnsi="Times New Roman"/>
          <w:color w:val="000000"/>
          <w:sz w:val="28"/>
        </w:rPr>
        <w:t>;</w:t>
      </w:r>
    </w:p>
    <w:p w14:paraId="77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повышение эффективности осуществления контрольно-надзорной деятельности.</w:t>
      </w:r>
    </w:p>
    <w:p w14:paraId="78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Задачами реализации программы профилактики являются:</w:t>
      </w:r>
    </w:p>
    <w:p w14:paraId="79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установление и оценка зависимости видов, форм и интенсивности профилактических мероприятий от особенностей объектов контроля, проведение профилактических мероприятий с учетом данных факторов;</w:t>
      </w:r>
    </w:p>
    <w:p w14:paraId="7A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повышение квалификации должностных, осуществляющих государственный контроль (надзор);</w:t>
      </w:r>
    </w:p>
    <w:p w14:paraId="7B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 использование современных информационно-телекоммуникационных технологий при проведении профилактических мероприятий;</w:t>
      </w:r>
    </w:p>
    <w:p w14:paraId="7C000000">
      <w:pPr>
        <w:widowControl w:val="1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осуществление планирования проведения профилактических мероприятий на основе принципов их понятности, информационной открытости, полноты охвата ими максимального количества контролируемых лиц.</w:t>
      </w:r>
    </w:p>
    <w:p w14:paraId="7D000000">
      <w:pPr>
        <w:spacing w:after="0" w:line="240" w:lineRule="auto"/>
        <w:ind/>
        <w:jc w:val="center"/>
        <w:rPr>
          <w:rFonts w:ascii="Times New Roman" w:hAnsi="Times New Roman"/>
          <w:color w:val="1F1D26"/>
          <w:sz w:val="28"/>
        </w:rPr>
      </w:pPr>
      <w:r>
        <w:rPr>
          <w:rFonts w:ascii="Times New Roman" w:hAnsi="Times New Roman"/>
          <w:color w:val="1F1D26"/>
          <w:sz w:val="28"/>
        </w:rPr>
        <w:t>Раздел 3. Перечень профилактических мероприятий, сроки (периодичность) их проведения</w:t>
      </w:r>
    </w:p>
    <w:p w14:paraId="7E000000">
      <w:pPr>
        <w:spacing w:after="0" w:beforeAutospacing="on" w:line="240" w:lineRule="auto"/>
        <w:ind w:firstLine="0" w:left="1123" w:right="987"/>
        <w:jc w:val="center"/>
        <w:rPr>
          <w:rFonts w:ascii="Times New Roman" w:hAnsi="Times New Roman"/>
          <w:color w:val="1F1D26"/>
          <w:sz w:val="28"/>
        </w:rPr>
      </w:pPr>
    </w:p>
    <w:tbl>
      <w:tblPr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6"/>
        <w:gridCol w:w="3827"/>
        <w:gridCol w:w="1846"/>
        <w:gridCol w:w="1842"/>
        <w:gridCol w:w="1982"/>
      </w:tblGrid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№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Мероприятия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Сроки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Ожидаемый результат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Исполнитель</w:t>
            </w:r>
          </w:p>
        </w:tc>
      </w:tr>
    </w:tbl>
    <w:p w14:paraId="84000000">
      <w:pPr>
        <w:spacing w:after="0"/>
        <w:ind/>
        <w:rPr>
          <w:sz w:val="2"/>
        </w:rPr>
      </w:pPr>
    </w:p>
    <w:tbl>
      <w:tblPr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6"/>
        <w:gridCol w:w="3827"/>
        <w:gridCol w:w="1843"/>
        <w:gridCol w:w="1842"/>
        <w:gridCol w:w="1985"/>
      </w:tblGrid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5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1.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Информирование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Размещение и поддержание в</w:t>
            </w:r>
            <w:r>
              <w:rPr>
                <w:rFonts w:ascii="Times New Roman" w:hAnsi="Times New Roman"/>
                <w:color w:val="1F1D26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1D26"/>
                <w:sz w:val="24"/>
              </w:rPr>
              <w:t>актуальной редакции на официальном сайте Министерства в информационно-телекоммуникационной сети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  «</w:t>
            </w:r>
            <w:r>
              <w:rPr>
                <w:rFonts w:ascii="Times New Roman" w:hAnsi="Times New Roman"/>
                <w:color w:val="1F1D26"/>
                <w:sz w:val="24"/>
              </w:rPr>
              <w:t>Интернет»:</w:t>
            </w:r>
          </w:p>
          <w:p w14:paraId="8E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а) текстов нормативных правовых актов, регулирующих осуществление регионального контроля; 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</w:p>
          <w:p w14:paraId="8F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б) 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сведений об изменениях, внесенных в нормативные правовые акты, регулирующие осуществление регионального контроля, о сроках и порядке их вступления в силу; </w:t>
            </w:r>
          </w:p>
          <w:p w14:paraId="90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в) перечня нормативных правовых актов с указанием структурных единиц этих актов, содержащих обязател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      </w:r>
          </w:p>
          <w:p w14:paraId="91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г) руководств по соблюдению обязательных требований, 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разработанных и утвержденных в соответствии с Федеральным законом от 31.07.2020                              № 247-ФЗ «Об обязательных требованиях в Российской Федерации»; </w:t>
            </w:r>
          </w:p>
          <w:p w14:paraId="92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д) перечня индикаторов риска нарушения обязательных требований, порядок отнесения о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бъектов контроля к категориям риска; перечня объектов контроля, учитываемых в рамках формирования ежегодного плана контрольных (надзорных) мероприятий, с указанием категории риска; </w:t>
            </w:r>
          </w:p>
          <w:p w14:paraId="93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е) программы профилактики рисков причинения вреда и плана проведения плано</w:t>
            </w:r>
            <w:r>
              <w:rPr>
                <w:rFonts w:ascii="Times New Roman" w:hAnsi="Times New Roman"/>
                <w:color w:val="1F1D26"/>
                <w:sz w:val="24"/>
              </w:rPr>
              <w:t>вых контрольных (надзорных) мероприятий Министерством (при проведении таких мероприятий);</w:t>
            </w:r>
          </w:p>
          <w:p w14:paraId="94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ж) исчерпывающего перечня сведений, которые могут запрашиваться Министерством у контролируемого лица;</w:t>
            </w:r>
          </w:p>
          <w:p w14:paraId="95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з) сведений о способах получения консультаций по вопросам </w:t>
            </w:r>
            <w:r>
              <w:rPr>
                <w:rFonts w:ascii="Times New Roman" w:hAnsi="Times New Roman"/>
                <w:color w:val="1F1D26"/>
                <w:sz w:val="24"/>
              </w:rPr>
              <w:t>соблюд</w:t>
            </w:r>
            <w:r>
              <w:rPr>
                <w:rFonts w:ascii="Times New Roman" w:hAnsi="Times New Roman"/>
                <w:color w:val="1F1D26"/>
                <w:sz w:val="24"/>
              </w:rPr>
              <w:t>ения обязательных требований;</w:t>
            </w:r>
          </w:p>
          <w:p w14:paraId="96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и)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  <w:r>
              <w:rPr>
                <w:rFonts w:ascii="Times New Roman" w:hAnsi="Times New Roman"/>
                <w:color w:val="1F1D26"/>
                <w:sz w:val="24"/>
              </w:rPr>
              <w:t>сведений о порядке досудебного обжалования решений Министерства, действий (бездействия) его должностных лиц;</w:t>
            </w:r>
          </w:p>
          <w:p w14:paraId="97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к) докладов, содержащих результаты обобщения правоприменительной практики Министерства;</w:t>
            </w:r>
          </w:p>
          <w:p w14:paraId="98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л) докладов о региональном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контроле;</w:t>
            </w:r>
          </w:p>
          <w:p w14:paraId="99000000">
            <w:pPr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м)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  <w:r>
              <w:rPr>
                <w:rFonts w:ascii="Times New Roman" w:hAnsi="Times New Roman"/>
                <w:color w:val="1F1D26"/>
                <w:sz w:val="24"/>
              </w:rPr>
              <w:t>иных сведений, предусмотренных нормативными правовыми актами Российской Федерации, нормативными правовыми Камчатского края и (или) программой профилактики рисков причинения вреда (ущерба) охраняемым законом ценностям;</w:t>
            </w:r>
          </w:p>
          <w:p w14:paraId="9A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н) памятки для работодат</w:t>
            </w:r>
            <w:r>
              <w:rPr>
                <w:rFonts w:ascii="Times New Roman" w:hAnsi="Times New Roman"/>
                <w:sz w:val="24"/>
              </w:rPr>
              <w:t>елей, разработанные с учетом нормативных правовых актов Камчатского края.</w:t>
            </w:r>
          </w:p>
          <w:p w14:paraId="9B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C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Новостная лента:</w:t>
            </w:r>
          </w:p>
          <w:p w14:paraId="9D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информация об исполнении квоты работодателями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Не позднее 5</w:t>
            </w:r>
          </w:p>
          <w:p w14:paraId="9F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рабочих дней</w:t>
            </w:r>
          </w:p>
          <w:p w14:paraId="A0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с даты вступления в</w:t>
            </w:r>
          </w:p>
          <w:p w14:paraId="A1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силу  нормативного</w:t>
            </w:r>
          </w:p>
          <w:p w14:paraId="A2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правового</w:t>
            </w:r>
          </w:p>
          <w:p w14:paraId="A3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акта</w:t>
            </w:r>
          </w:p>
          <w:p w14:paraId="A4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5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6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7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8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9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A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B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C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D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E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AF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0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1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2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3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4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5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6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7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8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9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A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B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C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D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E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BF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0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1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2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3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4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5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6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7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8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9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A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B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C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D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E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CF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0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1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2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3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4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5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6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7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8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9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A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B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C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D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E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DF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0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1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2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3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4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5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6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7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8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9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A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B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C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D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EE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</w:p>
          <w:p w14:paraId="EF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</w:p>
          <w:p w14:paraId="F0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F100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не реже 1 раза в квартал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</w:t>
            </w:r>
          </w:p>
          <w:p w14:paraId="F3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правовой</w:t>
            </w:r>
          </w:p>
          <w:p w14:paraId="F4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грамотности подконтрольных субъектов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  <w:p w14:paraId="F6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7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8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9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A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B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C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D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E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FF00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1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8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C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D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E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0F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1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8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C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D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E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1F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1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8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C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D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E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2F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1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8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C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D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3E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3F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4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41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4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4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</w:p>
          <w:p w14:paraId="4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  <w:shd w:fill="FFD821" w:val="clear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КГКУ «Центр занятости населения Камчатского края»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2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постов на официальных страницах Министерства в социальных сетях:</w:t>
            </w:r>
          </w:p>
          <w:p w14:paraId="4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сведения об изменениях, внесенных в нормативные правовые акты, регулирующие осуществление </w:t>
            </w:r>
            <w:r>
              <w:rPr>
                <w:rFonts w:ascii="Times New Roman" w:hAnsi="Times New Roman"/>
                <w:sz w:val="24"/>
              </w:rPr>
              <w:t>государственного контроля (надзора), о сроках и порядке их вступления в силу;</w:t>
            </w:r>
          </w:p>
          <w:p w14:paraId="4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аналитическая информация об исполнении квоты работодателями; </w:t>
            </w:r>
          </w:p>
          <w:p w14:paraId="49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о наличии вакансий, заявленных работодателями в счет квоты для трудоустройства инвалидов;</w:t>
            </w:r>
          </w:p>
          <w:p w14:paraId="4A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положительные при</w:t>
            </w:r>
            <w:r>
              <w:rPr>
                <w:rFonts w:ascii="Times New Roman" w:hAnsi="Times New Roman"/>
                <w:sz w:val="24"/>
              </w:rPr>
              <w:t xml:space="preserve">меры </w:t>
            </w:r>
            <w:r>
              <w:rPr>
                <w:rFonts w:ascii="Times New Roman" w:hAnsi="Times New Roman"/>
                <w:sz w:val="24"/>
              </w:rPr>
              <w:t>трудоустройства инвалидов, исполнения законодательства о квотировании и другие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4C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4D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4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10 рабочих дней после вступления в силу</w:t>
            </w:r>
          </w:p>
          <w:p w14:paraId="4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  <w:p w14:paraId="5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реже 1 раза в квартал</w:t>
            </w:r>
          </w:p>
          <w:p w14:paraId="5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  <w:p w14:paraId="5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реже 2 раз в месяц</w:t>
            </w:r>
          </w:p>
          <w:p w14:paraId="5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  <w:p w14:paraId="5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реже 1 раза в месяц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</w:t>
            </w:r>
          </w:p>
          <w:p w14:paraId="5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правовой</w:t>
            </w:r>
          </w:p>
          <w:p w14:paraId="5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грамотности подконтрольных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субъектов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Министерства;</w:t>
            </w:r>
          </w:p>
          <w:p w14:paraId="5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КГКУ «Центр занятости населения Камчатского края»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3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Адресное информирование работодателей, в том числе размещение информации в личных кабинетах контролируемых лиц в государственных информационных системах (при их наличии), направление на электронную почту, на мероприятиях (совещания, круглые столы, семинар</w:t>
            </w:r>
            <w:r>
              <w:rPr>
                <w:rFonts w:ascii="Times New Roman" w:hAnsi="Times New Roman"/>
                <w:sz w:val="24"/>
              </w:rPr>
              <w:t>ы):</w:t>
            </w:r>
          </w:p>
          <w:p w14:paraId="5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</w:t>
            </w:r>
            <w:r>
              <w:rPr>
                <w:rFonts w:ascii="Times New Roman" w:hAnsi="Times New Roman"/>
                <w:sz w:val="24"/>
              </w:rPr>
              <w:t>текст нормативных правовых актов, регулирующих осуществление контроля (надзора);</w:t>
            </w:r>
          </w:p>
          <w:p w14:paraId="5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 xml:space="preserve"> памятки для работодателей, разработанные с учетом нормативных правовых актов Камчатского края;</w:t>
            </w:r>
          </w:p>
          <w:p w14:paraId="5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в) </w:t>
            </w:r>
            <w:r>
              <w:rPr>
                <w:rFonts w:ascii="Times New Roman" w:hAnsi="Times New Roman"/>
                <w:sz w:val="24"/>
              </w:rPr>
              <w:t>аналитическая информация об исполнении квоты работодателями;</w:t>
            </w:r>
          </w:p>
          <w:p w14:paraId="5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 xml:space="preserve"> сведени</w:t>
            </w:r>
            <w:r>
              <w:rPr>
                <w:rFonts w:ascii="Times New Roman" w:hAnsi="Times New Roman"/>
                <w:sz w:val="24"/>
              </w:rPr>
              <w:t xml:space="preserve">я об изменениях, внесенных в нормативные правовые акты, регулирующие осуществление государственного контроля (надзора)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реже 1 раза в полугодие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</w:t>
            </w:r>
          </w:p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правовой</w:t>
            </w:r>
          </w:p>
          <w:p w14:paraId="6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грамотности подконтрольных субъектов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Министерства;</w:t>
            </w:r>
          </w:p>
          <w:p w14:paraId="6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КГКУ «Центр занятости населения Камчатского края»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4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Публичные слушания, совместно с Государственной инспекцией труда, учреждением медико-социальной экспертизы, общественными организациями инвалидов для информирования работодателей о </w:t>
            </w:r>
            <w:r>
              <w:rPr>
                <w:rFonts w:ascii="Times New Roman" w:hAnsi="Times New Roman"/>
                <w:sz w:val="24"/>
              </w:rPr>
              <w:t>порядке установления и исполнения квот для приема инвалидов</w:t>
            </w:r>
          </w:p>
          <w:p w14:paraId="6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реже 1 раза в квартал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</w:t>
            </w:r>
          </w:p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правовой</w:t>
            </w:r>
          </w:p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грамотности подконтрольных субъектов</w:t>
            </w:r>
          </w:p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5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Рассмотрение на трехсторонней комиссии </w:t>
            </w:r>
            <w:r>
              <w:rPr>
                <w:rFonts w:ascii="Times New Roman" w:hAnsi="Times New Roman"/>
                <w:sz w:val="24"/>
              </w:rPr>
              <w:t>Камчатского края доклада о государственном контроле (надзоре), результатах реализации мероприятий по содействию трудоустройству инвалидов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реже 1 раза в полугодие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Доведение информации о состоянии регионального контроля (надзора) до сторон социального </w:t>
            </w:r>
            <w:r>
              <w:rPr>
                <w:rFonts w:ascii="Times New Roman" w:hAnsi="Times New Roman"/>
                <w:color w:val="1F1D26"/>
                <w:sz w:val="24"/>
              </w:rPr>
              <w:t>пар</w:t>
            </w:r>
            <w:r>
              <w:rPr>
                <w:rFonts w:ascii="Times New Roman" w:hAnsi="Times New Roman"/>
                <w:color w:val="1F1D26"/>
                <w:sz w:val="24"/>
              </w:rPr>
              <w:t>тнерства в Камчатском крае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Отдел организационно-правового обеспечения и контроля Министерства; отдел трудовых </w:t>
            </w:r>
            <w:r>
              <w:rPr>
                <w:rFonts w:ascii="Times New Roman" w:hAnsi="Times New Roman"/>
                <w:color w:val="1F1D26"/>
                <w:sz w:val="24"/>
              </w:rPr>
              <w:t>отношений Министерства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2.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Обобщение правоприменительной практики</w:t>
            </w:r>
          </w:p>
        </w:tc>
      </w:tr>
      <w:tr>
        <w:trPr>
          <w:trHeight w:hRule="atLeast" w:val="540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Обобщение правоприменительной практики регионального контроля </w:t>
            </w:r>
          </w:p>
          <w:p w14:paraId="78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До 1 марта года, следующего за отчетным годом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 открытости деятельности органов занятости населения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</w:tc>
      </w:tr>
      <w:tr>
        <w:trPr>
          <w:trHeight w:hRule="atLeast" w:val="2235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2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Размещение на официальном сайте в информационно-телекоммуникационной сети   </w:t>
            </w:r>
            <w:r>
              <w:rPr>
                <w:rFonts w:ascii="Times New Roman" w:hAnsi="Times New Roman"/>
                <w:color w:val="1F1D26"/>
                <w:sz w:val="24"/>
              </w:rPr>
              <w:t>«Интернет»   ежегодного</w:t>
            </w:r>
            <w:r>
              <w:rPr>
                <w:rFonts w:ascii="Times New Roman" w:hAnsi="Times New Roman"/>
                <w:color w:val="1F1D26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1D26"/>
                <w:sz w:val="24"/>
              </w:rPr>
              <w:t>доклада, содержащего результаты обобщения правоприменительной практики Министерства по региональному контролю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До 3 дней со дня утверждения доклада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 открытости деятельности органов занятости населения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</w:t>
            </w:r>
            <w:r>
              <w:rPr>
                <w:rFonts w:ascii="Times New Roman" w:hAnsi="Times New Roman"/>
                <w:color w:val="1F1D26"/>
                <w:sz w:val="24"/>
              </w:rPr>
              <w:t>авового обеспечения и контроля Министерства</w:t>
            </w:r>
          </w:p>
        </w:tc>
      </w:tr>
      <w:tr>
        <w:trPr>
          <w:trHeight w:hRule="atLeast" w:val="2235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3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Подготовка и направление для размещения информации (обзоров) о типичных нарушениях обязательных требований подконтрольными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субъектами, выявляемых при проведении   мероприятий по контролю (надзору), с  указанием наиболее часто встречающихся случаев  нарушений обязательных требований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Ежеквартально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Повышение</w:t>
            </w:r>
          </w:p>
          <w:p w14:paraId="8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правовой</w:t>
            </w:r>
          </w:p>
          <w:p w14:paraId="8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грамотности подконтрольных субъектов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</w:t>
            </w:r>
            <w:r>
              <w:rPr>
                <w:rFonts w:ascii="Times New Roman" w:hAnsi="Times New Roman"/>
                <w:color w:val="1F1D26"/>
                <w:sz w:val="24"/>
              </w:rPr>
              <w:t>ового обеспечения и контроля Министерства</w:t>
            </w:r>
          </w:p>
        </w:tc>
      </w:tr>
      <w:tr>
        <w:trPr>
          <w:trHeight w:hRule="atLeast" w:val="2235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4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Подготовка и проведение публичных обсуждений правоприменительной практики Министерства при осуществлении надзора и контроля за приемом на работу инвалидов в пределах установленной квоты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 раз в квартал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Получение обратной связи, выявление причин, факторов и условий, приводящих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  <w:r>
              <w:rPr>
                <w:rFonts w:ascii="Times New Roman" w:hAnsi="Times New Roman"/>
                <w:color w:val="1F1D26"/>
                <w:sz w:val="24"/>
              </w:rPr>
              <w:t>к</w:t>
            </w:r>
          </w:p>
          <w:p w14:paraId="8C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нарушению</w:t>
            </w:r>
          </w:p>
          <w:p w14:paraId="8D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обязательных</w:t>
            </w:r>
          </w:p>
          <w:p w14:paraId="8E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требований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</w:tc>
      </w:tr>
      <w:tr>
        <w:trPr>
          <w:trHeight w:hRule="atLeast" w:val="467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3.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Объявление предостережения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контролируемым лицам, на основе</w:t>
            </w:r>
            <w:r>
              <w:rPr>
                <w:rFonts w:ascii="Times New Roman" w:hAnsi="Times New Roman"/>
                <w:sz w:val="24"/>
              </w:rPr>
              <w:t xml:space="preserve"> анализа исполнения квот для приема инвалидов, предостережений о недопустимости нарушения обязательных требований в части </w:t>
            </w:r>
            <w:r>
              <w:rPr>
                <w:rFonts w:ascii="Times New Roman" w:hAnsi="Times New Roman"/>
                <w:sz w:val="24"/>
              </w:rPr>
              <w:t>выполнения обязанности по созданию и (или) выделению рабочих мест в соответствии с установленной квотой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По мере выявления оснований   </w:t>
            </w:r>
            <w:r>
              <w:rPr>
                <w:rFonts w:ascii="Times New Roman" w:hAnsi="Times New Roman"/>
                <w:color w:val="1F1D26"/>
                <w:sz w:val="24"/>
              </w:rPr>
              <w:t>для выдачи</w:t>
            </w:r>
          </w:p>
          <w:p w14:paraId="95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 xml:space="preserve">предостережений, </w:t>
            </w:r>
            <w:r>
              <w:rPr>
                <w:rFonts w:ascii="Times New Roman" w:hAnsi="Times New Roman"/>
                <w:sz w:val="24"/>
              </w:rPr>
              <w:t xml:space="preserve">не позднее 30 дней со дня </w:t>
            </w:r>
            <w:r>
              <w:rPr>
                <w:rFonts w:ascii="Times New Roman" w:hAnsi="Times New Roman"/>
                <w:sz w:val="24"/>
              </w:rPr>
              <w:t>появления оснований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Предупреждение и профилактика правонарушений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Министерство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4.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Консультирование</w:t>
            </w:r>
          </w:p>
        </w:tc>
      </w:tr>
      <w:tr>
        <w:trPr>
          <w:trHeight w:hRule="atLeast" w:val="6958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</w:t>
            </w:r>
            <w:r>
              <w:rPr>
                <w:rFonts w:ascii="Times New Roman" w:hAnsi="Times New Roman"/>
                <w:color w:val="1F1D26"/>
                <w:sz w:val="24"/>
              </w:rPr>
              <w:t>существляется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 по следующим вопросам:</w:t>
            </w:r>
          </w:p>
          <w:p w14:paraId="9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соблюдение обязательных требований в части выполнения обязанности по соз</w:t>
            </w:r>
            <w:r>
              <w:rPr>
                <w:rFonts w:ascii="Times New Roman" w:hAnsi="Times New Roman"/>
                <w:sz w:val="24"/>
              </w:rPr>
              <w:t>данию и (или) выделению рабочих мест в соответствии с установленной квотой;</w:t>
            </w:r>
          </w:p>
          <w:p w14:paraId="9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формирование локального нормативного акта, содержащего сведения о созданных или выделенных рабочих местах для трудоустройства инвалидов в соответствии с установленной квотой;</w:t>
            </w:r>
          </w:p>
          <w:p w14:paraId="9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 xml:space="preserve"> ежемесячное представление предусмотренной законом отчетности;</w:t>
            </w:r>
          </w:p>
          <w:p w14:paraId="9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иные вопросы</w:t>
            </w:r>
            <w:r>
              <w:rPr>
                <w:rFonts w:ascii="Times New Roman" w:hAnsi="Times New Roman"/>
                <w:color w:val="1F1D26"/>
                <w:sz w:val="24"/>
              </w:rPr>
              <w:t>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По мере поступления обращений,</w:t>
            </w:r>
          </w:p>
          <w:p w14:paraId="A1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личном обращении, по телефону, в том числе на «горячую линию» - 15 минут с момента соединения с оператором; обращение в социальных сетях – в </w:t>
            </w:r>
            <w:r>
              <w:rPr>
                <w:rFonts w:ascii="Times New Roman" w:hAnsi="Times New Roman"/>
                <w:sz w:val="24"/>
              </w:rPr>
              <w:t xml:space="preserve">течение рабочего дня после поступления обращения; при письменном обращении – 30 дней с момента регистрации заявления 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Предупреждение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  <w:r>
              <w:rPr>
                <w:rFonts w:ascii="Times New Roman" w:hAnsi="Times New Roman"/>
                <w:color w:val="1F1D26"/>
                <w:sz w:val="24"/>
              </w:rPr>
              <w:t>и профилактика правонарушений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5.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Профилактический визит</w:t>
            </w:r>
          </w:p>
        </w:tc>
      </w:tr>
      <w:tr>
        <w:trPr>
          <w:trHeight w:hRule="atLeast" w:val="3326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1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Обязательные профилактические визиты проводятся в отношении контролируемых лиц, приступающих к осуществлению деятельности и объектов, отнесенных к категориям высокого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риска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4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квартал 2024 года, </w:t>
            </w:r>
          </w:p>
          <w:p w14:paraId="A9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но не позднее чем в течение одного года с</w:t>
            </w:r>
            <w:r>
              <w:rPr>
                <w:rFonts w:ascii="Times New Roman" w:hAnsi="Times New Roman"/>
                <w:color w:val="1F1D26"/>
                <w:sz w:val="24"/>
              </w:rPr>
              <w:t xml:space="preserve"> момента начала контролируемым лицом осуществления деятельности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Предупреждение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  <w:r>
              <w:rPr>
                <w:rFonts w:ascii="Times New Roman" w:hAnsi="Times New Roman"/>
                <w:color w:val="1F1D26"/>
                <w:sz w:val="24"/>
              </w:rPr>
              <w:t>и профилактика правонарушений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</w:tc>
      </w:tr>
      <w:tr>
        <w:trPr>
          <w:trHeight w:hRule="atLeast" w:val="3326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0"/>
              <w:ind/>
              <w:jc w:val="center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2</w:t>
            </w:r>
            <w:r>
              <w:rPr>
                <w:rFonts w:ascii="Times New Roman" w:hAnsi="Times New Roman"/>
                <w:color w:val="1F1D26"/>
                <w:sz w:val="24"/>
              </w:rPr>
              <w:t>)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Профилактические визиты по инициативе контролируемого лица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позднее 30 </w:t>
            </w:r>
            <w:r>
              <w:rPr>
                <w:rFonts w:ascii="Times New Roman" w:hAnsi="Times New Roman"/>
                <w:sz w:val="24"/>
              </w:rPr>
              <w:t>дней со дня обращения контролируемого лица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Предупреждение</w:t>
            </w:r>
            <w:r>
              <w:rPr>
                <w:rFonts w:ascii="Times New Roman" w:hAnsi="Times New Roman"/>
                <w:color w:val="1F1D26"/>
                <w:sz w:val="24"/>
              </w:rPr>
              <w:tab/>
            </w:r>
            <w:r>
              <w:rPr>
                <w:rFonts w:ascii="Times New Roman" w:hAnsi="Times New Roman"/>
                <w:color w:val="1F1D26"/>
                <w:sz w:val="24"/>
              </w:rPr>
              <w:t>и профилактика правонарушений</w:t>
            </w:r>
          </w:p>
          <w:p w14:paraId="B0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1F1D26"/>
                <w:sz w:val="24"/>
              </w:rPr>
            </w:pPr>
            <w:r>
              <w:rPr>
                <w:rFonts w:ascii="Times New Roman" w:hAnsi="Times New Roman"/>
                <w:color w:val="1F1D26"/>
                <w:sz w:val="24"/>
              </w:rPr>
              <w:t>Отдел организационно-правового обеспечения и контроля Министерства</w:t>
            </w:r>
          </w:p>
          <w:p w14:paraId="B2010000">
            <w:pPr>
              <w:spacing w:after="0"/>
              <w:ind/>
              <w:rPr>
                <w:rFonts w:ascii="Times New Roman" w:hAnsi="Times New Roman"/>
                <w:color w:val="1F1D26"/>
                <w:sz w:val="24"/>
              </w:rPr>
            </w:pPr>
          </w:p>
        </w:tc>
      </w:tr>
    </w:tbl>
    <w:p w14:paraId="B3010000">
      <w:pPr>
        <w:spacing w:after="0" w:line="240" w:lineRule="auto"/>
        <w:ind/>
        <w:jc w:val="center"/>
        <w:rPr>
          <w:rFonts w:ascii="Times New Roman" w:hAnsi="Times New Roman"/>
          <w:color w:val="1F1D26"/>
          <w:sz w:val="28"/>
        </w:rPr>
      </w:pPr>
    </w:p>
    <w:p w14:paraId="B4010000">
      <w:pPr>
        <w:spacing w:after="0" w:line="240" w:lineRule="auto"/>
        <w:ind w:firstLine="709" w:left="0"/>
        <w:jc w:val="center"/>
        <w:rPr>
          <w:rFonts w:ascii="Times New Roman" w:hAnsi="Times New Roman"/>
          <w:color w:val="1F1D26"/>
          <w:sz w:val="28"/>
        </w:rPr>
      </w:pPr>
      <w:r>
        <w:rPr>
          <w:rFonts w:ascii="Times New Roman" w:hAnsi="Times New Roman"/>
          <w:color w:val="1F1D26"/>
          <w:sz w:val="28"/>
        </w:rPr>
        <w:t>Раздел 4. Показатели результативности и эффективности Программы</w:t>
      </w:r>
    </w:p>
    <w:p w14:paraId="B5010000">
      <w:pPr>
        <w:spacing w:after="0" w:line="240" w:lineRule="auto"/>
        <w:ind w:firstLine="709" w:left="0"/>
        <w:jc w:val="both"/>
        <w:rPr>
          <w:rFonts w:ascii="Times New Roman" w:hAnsi="Times New Roman"/>
          <w:color w:val="1F1D26"/>
          <w:sz w:val="20"/>
        </w:rPr>
      </w:pPr>
    </w:p>
    <w:tbl>
      <w:tblPr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sz="4" w:val="nil"/>
          <w:insideV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7"/>
        <w:gridCol w:w="4820"/>
        <w:gridCol w:w="1417"/>
        <w:gridCol w:w="1418"/>
        <w:gridCol w:w="1701"/>
      </w:tblGrid>
      <w:tr>
        <w:trPr>
          <w:trHeight w:hRule="atLeast" w:val="825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показателя результативности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эффективности программы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(единица, процент)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Целевое значение показателя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Прогнозное значение показателя</w:t>
            </w:r>
          </w:p>
        </w:tc>
      </w:tr>
      <w:tr>
        <w:trPr>
          <w:trHeight w:hRule="atLeast" w:val="35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</w:t>
            </w:r>
          </w:p>
        </w:tc>
      </w:tr>
      <w:tr>
        <w:trPr>
          <w:trHeight w:hRule="atLeast" w:val="16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16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работодателями обязанности по созданию (выделению) </w:t>
            </w:r>
            <w:r>
              <w:rPr>
                <w:rFonts w:ascii="Times New Roman" w:hAnsi="Times New Roman"/>
                <w:sz w:val="24"/>
              </w:rPr>
              <w:t>рабочих мест в счет установленной квоты, на конец года,</w:t>
            </w:r>
          </w:p>
          <w:p w14:paraId="C301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в государственных учреждениях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  <w:p w14:paraId="C6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7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8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9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  <w:p w14:paraId="CB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C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D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E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rPr>
          <w:trHeight w:hRule="atLeast" w:val="16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работодателями обязанности по оформлению в установленном порядке работодателем трудовых отношений с инвалидами в </w:t>
            </w:r>
            <w:r>
              <w:rPr>
                <w:rFonts w:ascii="Times New Roman" w:hAnsi="Times New Roman"/>
                <w:sz w:val="24"/>
              </w:rPr>
              <w:t>рамках исполнения обязанности по трудоустройству инвалидов в соответствии с установленной квотой на конец года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rPr>
          <w:trHeight w:hRule="atLeast" w:val="1448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объектов контроля, в отношении которых проведены профилактические мероприятия от общего числа контролируемых лиц в </w:t>
            </w:r>
            <w:r>
              <w:rPr>
                <w:rFonts w:ascii="Times New Roman" w:hAnsi="Times New Roman"/>
                <w:sz w:val="24"/>
              </w:rPr>
              <w:t>течение года с нарастающим итогом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D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показателей результативности и эффективности программы профилактики осуществляется в рамках подготовки сведений (докладов) об итогах реализации программы профилактики до 01.03.202</w:t>
      </w:r>
      <w:r>
        <w:rPr>
          <w:rFonts w:ascii="Times New Roman" w:hAnsi="Times New Roman"/>
          <w:color w:val="1F1D26"/>
          <w:sz w:val="28"/>
        </w:rPr>
        <w:t>6.</w:t>
      </w:r>
    </w:p>
    <w:p w14:paraId="DA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sectPr>
      <w:headerReference r:id="rId1" w:type="default"/>
      <w:pgSz w:h="16840" w:orient="portrait" w:w="11910"/>
      <w:pgMar w:bottom="1134" w:footer="720" w:gutter="0" w:header="720" w:left="1457" w:right="403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Гипертекстовая ссылка"/>
    <w:basedOn w:val="Style_6"/>
    <w:link w:val="Style_5_ch"/>
    <w:rPr>
      <w:color w:val="106BBE"/>
    </w:rPr>
  </w:style>
  <w:style w:styleId="Style_5_ch" w:type="character">
    <w:name w:val="Гипертекстовая ссылка"/>
    <w:basedOn w:val="Style_6_ch"/>
    <w:link w:val="Style_5"/>
    <w:rPr>
      <w:color w:val="106BBE"/>
    </w:rPr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annotation reference"/>
    <w:link w:val="Style_8_ch"/>
    <w:rPr>
      <w:sz w:val="16"/>
    </w:rPr>
  </w:style>
  <w:style w:styleId="Style_8_ch" w:type="character">
    <w:name w:val="annotation reference"/>
    <w:link w:val="Style_8"/>
    <w:rPr>
      <w:sz w:val="16"/>
    </w:rPr>
  </w:style>
  <w:style w:styleId="Style_9" w:type="paragraph">
    <w:name w:val="footnote reference"/>
    <w:basedOn w:val="Style_6"/>
    <w:link w:val="Style_9_ch"/>
    <w:rPr>
      <w:vertAlign w:val="superscript"/>
    </w:rPr>
  </w:style>
  <w:style w:styleId="Style_9_ch" w:type="character">
    <w:name w:val="footnote reference"/>
    <w:basedOn w:val="Style_6_ch"/>
    <w:link w:val="Style_9"/>
    <w:rPr>
      <w:vertAlign w:val="superscript"/>
    </w:rPr>
  </w:style>
  <w:style w:styleId="Style_10" w:type="paragraph">
    <w:name w:val="toc 4"/>
    <w:next w:val="Style_4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4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4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onsPlusTitle"/>
    <w:link w:val="Style_15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15_ch" w:type="character">
    <w:name w:val="ConsPlusTitle"/>
    <w:link w:val="Style_15"/>
    <w:rPr>
      <w:rFonts w:ascii="Arial" w:hAnsi="Arial"/>
      <w:b w:val="1"/>
      <w:sz w:val="20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6" w:type="paragraph">
    <w:name w:val="Основной текст с отступом 21"/>
    <w:basedOn w:val="Style_4"/>
    <w:link w:val="Style_16_ch"/>
    <w:pPr>
      <w:spacing w:after="0" w:line="240" w:lineRule="auto"/>
      <w:ind w:firstLine="360" w:left="0"/>
      <w:jc w:val="both"/>
    </w:pPr>
    <w:rPr>
      <w:rFonts w:ascii="Arial" w:hAnsi="Arial"/>
      <w:sz w:val="28"/>
    </w:rPr>
  </w:style>
  <w:style w:styleId="Style_16_ch" w:type="character">
    <w:name w:val="Основной текст с отступом 21"/>
    <w:basedOn w:val="Style_4_ch"/>
    <w:link w:val="Style_16"/>
    <w:rPr>
      <w:rFonts w:ascii="Arial" w:hAnsi="Arial"/>
      <w:sz w:val="28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List Paragraph"/>
    <w:basedOn w:val="Style_4"/>
    <w:link w:val="Style_18_ch"/>
    <w:pPr>
      <w:ind w:firstLine="0" w:left="720"/>
      <w:contextualSpacing w:val="1"/>
    </w:pPr>
    <w:rPr>
      <w:rFonts w:ascii="Calibri" w:hAnsi="Calibri"/>
    </w:rPr>
  </w:style>
  <w:style w:styleId="Style_18_ch" w:type="character">
    <w:name w:val="List Paragraph"/>
    <w:basedOn w:val="Style_4_ch"/>
    <w:link w:val="Style_18"/>
    <w:rPr>
      <w:rFonts w:ascii="Calibri" w:hAnsi="Calibri"/>
    </w:rPr>
  </w:style>
  <w:style w:styleId="Style_19" w:type="paragraph">
    <w:name w:val="Body Text"/>
    <w:basedOn w:val="Style_4"/>
    <w:link w:val="Style_19_ch"/>
    <w:pPr>
      <w:spacing w:after="120"/>
      <w:ind/>
    </w:pPr>
  </w:style>
  <w:style w:styleId="Style_19_ch" w:type="character">
    <w:name w:val="Body Text"/>
    <w:basedOn w:val="Style_4_ch"/>
    <w:link w:val="Style_19"/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Знак"/>
    <w:basedOn w:val="Style_4"/>
    <w:link w:val="Style_21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1_ch" w:type="character">
    <w:name w:val="Знак"/>
    <w:basedOn w:val="Style_4_ch"/>
    <w:link w:val="Style_21"/>
    <w:rPr>
      <w:rFonts w:ascii="Tahoma" w:hAnsi="Tahoma"/>
      <w:sz w:val="20"/>
    </w:rPr>
  </w:style>
  <w:style w:styleId="Style_22" w:type="paragraph">
    <w:name w:val="heading 5"/>
    <w:next w:val="Style_4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apple-converted-space"/>
    <w:basedOn w:val="Style_6"/>
    <w:link w:val="Style_23_ch"/>
  </w:style>
  <w:style w:styleId="Style_23_ch" w:type="character">
    <w:name w:val="apple-converted-space"/>
    <w:basedOn w:val="Style_6_ch"/>
    <w:link w:val="Style_23"/>
  </w:style>
  <w:style w:styleId="Style_24" w:type="paragraph">
    <w:name w:val="heading 1"/>
    <w:basedOn w:val="Style_4"/>
    <w:next w:val="Style_4"/>
    <w:link w:val="Style_24_ch"/>
    <w:uiPriority w:val="9"/>
    <w:qFormat/>
    <w:pPr>
      <w:keepNext w:val="1"/>
      <w:spacing w:after="60" w:before="240" w:line="360" w:lineRule="auto"/>
      <w:ind w:firstLine="709" w:left="0"/>
      <w:jc w:val="both"/>
      <w:outlineLvl w:val="0"/>
    </w:pPr>
    <w:rPr>
      <w:rFonts w:ascii="Arial" w:hAnsi="Arial"/>
      <w:b w:val="1"/>
      <w:sz w:val="32"/>
    </w:rPr>
  </w:style>
  <w:style w:styleId="Style_24_ch" w:type="character">
    <w:name w:val="heading 1"/>
    <w:basedOn w:val="Style_4_ch"/>
    <w:link w:val="Style_24"/>
    <w:rPr>
      <w:rFonts w:ascii="Arial" w:hAnsi="Arial"/>
      <w:b w:val="1"/>
      <w:sz w:val="32"/>
    </w:rPr>
  </w:style>
  <w:style w:styleId="Style_25" w:type="paragraph">
    <w:name w:val="ConsNormal"/>
    <w:link w:val="Style_25_ch"/>
    <w:pPr>
      <w:spacing w:after="0" w:line="240" w:lineRule="auto"/>
      <w:ind w:firstLine="720" w:left="0" w:right="19772"/>
    </w:pPr>
    <w:rPr>
      <w:rFonts w:ascii="Arial" w:hAnsi="Arial"/>
      <w:sz w:val="20"/>
    </w:rPr>
  </w:style>
  <w:style w:styleId="Style_25_ch" w:type="character">
    <w:name w:val="ConsNormal"/>
    <w:link w:val="Style_25"/>
    <w:rPr>
      <w:rFonts w:ascii="Arial" w:hAnsi="Arial"/>
      <w:sz w:val="20"/>
    </w:rPr>
  </w:style>
  <w:style w:styleId="Style_26" w:type="paragraph">
    <w:name w:val="annotation text"/>
    <w:basedOn w:val="Style_4"/>
    <w:link w:val="Style_26_ch"/>
    <w:pPr>
      <w:spacing w:after="0" w:line="240" w:lineRule="auto"/>
      <w:ind/>
    </w:pPr>
    <w:rPr>
      <w:rFonts w:ascii="Times New Roman" w:hAnsi="Times New Roman"/>
      <w:sz w:val="20"/>
    </w:rPr>
  </w:style>
  <w:style w:styleId="Style_26_ch" w:type="character">
    <w:name w:val="annotation text"/>
    <w:basedOn w:val="Style_4_ch"/>
    <w:link w:val="Style_26"/>
    <w:rPr>
      <w:rFonts w:ascii="Times New Roman" w:hAnsi="Times New Roman"/>
      <w:sz w:val="20"/>
    </w:rPr>
  </w:style>
  <w:style w:styleId="Style_27" w:type="paragraph">
    <w:name w:val="Hyperlink"/>
    <w:link w:val="Style_27_ch"/>
    <w:rPr>
      <w:strike w:val="0"/>
      <w:color w:val="0083C9"/>
      <w:u w:val="none"/>
    </w:rPr>
  </w:style>
  <w:style w:styleId="Style_27_ch" w:type="character">
    <w:name w:val="Hyperlink"/>
    <w:link w:val="Style_27"/>
    <w:rPr>
      <w:strike w:val="0"/>
      <w:color w:val="0083C9"/>
      <w:u w:val="none"/>
    </w:rPr>
  </w:style>
  <w:style w:styleId="Style_28" w:type="paragraph">
    <w:name w:val="Footnote"/>
    <w:basedOn w:val="Style_4"/>
    <w:link w:val="Style_28_ch"/>
    <w:pPr>
      <w:spacing w:after="0" w:line="240" w:lineRule="auto"/>
      <w:ind/>
    </w:pPr>
    <w:rPr>
      <w:sz w:val="20"/>
    </w:rPr>
  </w:style>
  <w:style w:styleId="Style_28_ch" w:type="character">
    <w:name w:val="Footnote"/>
    <w:basedOn w:val="Style_4_ch"/>
    <w:link w:val="Style_28"/>
    <w:rPr>
      <w:sz w:val="20"/>
    </w:rPr>
  </w:style>
  <w:style w:styleId="Style_29" w:type="paragraph">
    <w:name w:val="toc 1"/>
    <w:next w:val="Style_4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4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Body Text Indent 3"/>
    <w:basedOn w:val="Style_4"/>
    <w:link w:val="Style_32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32_ch" w:type="character">
    <w:name w:val="Body Text Indent 3"/>
    <w:basedOn w:val="Style_4_ch"/>
    <w:link w:val="Style_32"/>
    <w:rPr>
      <w:rFonts w:ascii="Times New Roman" w:hAnsi="Times New Roman"/>
      <w:sz w:val="28"/>
    </w:rPr>
  </w:style>
  <w:style w:styleId="Style_33" w:type="paragraph">
    <w:name w:val="toc 8"/>
    <w:next w:val="Style_4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footer"/>
    <w:basedOn w:val="Style_4"/>
    <w:link w:val="Style_3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4_ch" w:type="character">
    <w:name w:val="footer"/>
    <w:basedOn w:val="Style_4_ch"/>
    <w:link w:val="Style_34"/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Font Style20"/>
    <w:link w:val="Style_36_ch"/>
    <w:rPr>
      <w:rFonts w:ascii="Times New Roman" w:hAnsi="Times New Roman"/>
      <w:sz w:val="18"/>
    </w:rPr>
  </w:style>
  <w:style w:styleId="Style_36_ch" w:type="character">
    <w:name w:val="Font Style20"/>
    <w:link w:val="Style_36"/>
    <w:rPr>
      <w:rFonts w:ascii="Times New Roman" w:hAnsi="Times New Roman"/>
      <w:sz w:val="18"/>
    </w:rPr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Знак Знак Знак Знак"/>
    <w:basedOn w:val="Style_4"/>
    <w:next w:val="Style_4"/>
    <w:link w:val="Style_38_ch"/>
    <w:pPr>
      <w:spacing w:after="160" w:line="240" w:lineRule="exact"/>
      <w:ind/>
    </w:pPr>
    <w:rPr>
      <w:rFonts w:ascii="Arial" w:hAnsi="Arial"/>
      <w:sz w:val="20"/>
    </w:rPr>
  </w:style>
  <w:style w:styleId="Style_38_ch" w:type="character">
    <w:name w:val="Знак Знак Знак Знак"/>
    <w:basedOn w:val="Style_4_ch"/>
    <w:link w:val="Style_38"/>
    <w:rPr>
      <w:rFonts w:ascii="Arial" w:hAnsi="Arial"/>
      <w:sz w:val="20"/>
    </w:rPr>
  </w:style>
  <w:style w:styleId="Style_39" w:type="paragraph">
    <w:name w:val="Table Paragraph"/>
    <w:basedOn w:val="Style_4"/>
    <w:link w:val="Style_39_ch"/>
    <w:pPr>
      <w:widowControl w:val="0"/>
      <w:spacing w:after="0" w:line="240" w:lineRule="auto"/>
      <w:ind/>
    </w:pPr>
    <w:rPr>
      <w:rFonts w:ascii="Times New Roman" w:hAnsi="Times New Roman"/>
    </w:rPr>
  </w:style>
  <w:style w:styleId="Style_39_ch" w:type="character">
    <w:name w:val="Table Paragraph"/>
    <w:basedOn w:val="Style_4_ch"/>
    <w:link w:val="Style_39"/>
    <w:rPr>
      <w:rFonts w:ascii="Times New Roman" w:hAnsi="Times New Roman"/>
    </w:rPr>
  </w:style>
  <w:style w:styleId="Style_40" w:type="paragraph">
    <w:name w:val="Title"/>
    <w:next w:val="Style_4"/>
    <w:link w:val="Style_4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heading 4"/>
    <w:basedOn w:val="Style_4"/>
    <w:next w:val="Style_4"/>
    <w:link w:val="Style_41_ch"/>
    <w:uiPriority w:val="9"/>
    <w:qFormat/>
    <w:pPr>
      <w:keepNext w:val="1"/>
      <w:spacing w:after="60" w:before="240" w:line="360" w:lineRule="auto"/>
      <w:ind w:firstLine="709" w:left="0"/>
      <w:jc w:val="both"/>
      <w:outlineLvl w:val="3"/>
    </w:pPr>
    <w:rPr>
      <w:rFonts w:ascii="Times New Roman" w:hAnsi="Times New Roman"/>
      <w:b w:val="1"/>
      <w:sz w:val="28"/>
    </w:rPr>
  </w:style>
  <w:style w:styleId="Style_41_ch" w:type="character">
    <w:name w:val="heading 4"/>
    <w:basedOn w:val="Style_4_ch"/>
    <w:link w:val="Style_41"/>
    <w:rPr>
      <w:rFonts w:ascii="Times New Roman" w:hAnsi="Times New Roman"/>
      <w:b w:val="1"/>
      <w:sz w:val="28"/>
    </w:rPr>
  </w:style>
  <w:style w:styleId="Style_42" w:type="paragraph">
    <w:name w:val="Normal (Web)"/>
    <w:basedOn w:val="Style_4"/>
    <w:link w:val="Style_4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_ch" w:type="character">
    <w:name w:val="Normal (Web)"/>
    <w:basedOn w:val="Style_4_ch"/>
    <w:link w:val="Style_42"/>
    <w:rPr>
      <w:rFonts w:ascii="Times New Roman" w:hAnsi="Times New Roman"/>
      <w:sz w:val="24"/>
    </w:rPr>
  </w:style>
  <w:style w:styleId="Style_43" w:type="paragraph">
    <w:name w:val="tekstob"/>
    <w:basedOn w:val="Style_4"/>
    <w:link w:val="Style_4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3_ch" w:type="character">
    <w:name w:val="tekstob"/>
    <w:basedOn w:val="Style_4_ch"/>
    <w:link w:val="Style_43"/>
    <w:rPr>
      <w:rFonts w:ascii="Times New Roman" w:hAnsi="Times New Roman"/>
      <w:sz w:val="24"/>
    </w:rPr>
  </w:style>
  <w:style w:styleId="Style_44" w:type="paragraph">
    <w:name w:val="heading 2"/>
    <w:basedOn w:val="Style_4"/>
    <w:next w:val="Style_4"/>
    <w:link w:val="Style_44_ch"/>
    <w:uiPriority w:val="9"/>
    <w:qFormat/>
    <w:pPr>
      <w:keepNext w:val="1"/>
      <w:spacing w:after="60" w:before="240" w:line="360" w:lineRule="auto"/>
      <w:ind w:firstLine="709" w:left="0"/>
      <w:jc w:val="both"/>
      <w:outlineLvl w:val="1"/>
    </w:pPr>
    <w:rPr>
      <w:rFonts w:ascii="Arial" w:hAnsi="Arial"/>
      <w:b w:val="1"/>
      <w:i w:val="1"/>
      <w:sz w:val="28"/>
    </w:rPr>
  </w:style>
  <w:style w:styleId="Style_44_ch" w:type="character">
    <w:name w:val="heading 2"/>
    <w:basedOn w:val="Style_4_ch"/>
    <w:link w:val="Style_44"/>
    <w:rPr>
      <w:rFonts w:ascii="Arial" w:hAnsi="Arial"/>
      <w:b w:val="1"/>
      <w:i w:val="1"/>
      <w:sz w:val="28"/>
    </w:rPr>
  </w:style>
  <w:style w:styleId="Style_45" w:type="paragraph">
    <w:name w:val="ConsPlusNormal"/>
    <w:link w:val="Style_45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5_ch" w:type="character">
    <w:name w:val="ConsPlusNormal"/>
    <w:link w:val="Style_45"/>
    <w:rPr>
      <w:rFonts w:ascii="Arial" w:hAnsi="Arial"/>
      <w:sz w:val="20"/>
    </w:rPr>
  </w:style>
  <w:style w:styleId="Style_46" w:type="paragraph">
    <w:name w:val="heading 6"/>
    <w:basedOn w:val="Style_4"/>
    <w:next w:val="Style_4"/>
    <w:link w:val="Style_46_ch"/>
    <w:uiPriority w:val="9"/>
    <w:qFormat/>
    <w:pPr>
      <w:keepNext w:val="1"/>
      <w:keepLines w:val="1"/>
      <w:spacing w:after="0" w:before="200" w:line="240" w:lineRule="auto"/>
      <w:ind w:firstLine="709" w:left="0"/>
      <w:jc w:val="both"/>
      <w:outlineLvl w:val="5"/>
    </w:pPr>
    <w:rPr>
      <w:rFonts w:ascii="Cambria" w:hAnsi="Cambria"/>
      <w:i w:val="1"/>
      <w:color w:val="243F60"/>
      <w:sz w:val="20"/>
    </w:rPr>
  </w:style>
  <w:style w:styleId="Style_46_ch" w:type="character">
    <w:name w:val="heading 6"/>
    <w:basedOn w:val="Style_4_ch"/>
    <w:link w:val="Style_46"/>
    <w:rPr>
      <w:rFonts w:ascii="Cambria" w:hAnsi="Cambria"/>
      <w:i w:val="1"/>
      <w:color w:val="243F60"/>
      <w:sz w:val="20"/>
    </w:rPr>
  </w:style>
  <w:style w:styleId="Style_47" w:type="table">
    <w:name w:val="Сетка таблицы1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49" w:type="table">
    <w:name w:val="Table Normal1"/>
    <w:pPr>
      <w:widowControl w:val="0"/>
      <w:spacing w:after="0" w:line="240" w:lineRule="auto"/>
      <w:ind/>
    </w:pPr>
    <w:rPr>
      <w:rFonts w:ascii="Calibri" w:hAnsi="Calibri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2024-09-29T21:57:58Z</dcterms:modified>
</cp:coreProperties>
</file>