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</w:rPr>
      </w:pPr>
      <w:r>
        <w:rPr>
          <w:b w:val="1"/>
        </w:rPr>
        <w:t xml:space="preserve">Результаты </w:t>
      </w:r>
    </w:p>
    <w:p w14:paraId="02000000">
      <w:pPr>
        <w:ind w:firstLine="709" w:left="0"/>
        <w:jc w:val="center"/>
        <w:rPr>
          <w:b w:val="1"/>
        </w:rPr>
      </w:pPr>
      <w:r>
        <w:rPr>
          <w:b w:val="1"/>
        </w:rPr>
        <w:t xml:space="preserve">общественного обсуждения проекта </w:t>
      </w:r>
      <w:r>
        <w:rPr>
          <w:b w:val="1"/>
        </w:rPr>
        <w:t>Программы профилактики рисков причинения вреда (ущерба) охраняемым законом ценностям на 2024 год</w:t>
      </w:r>
    </w:p>
    <w:p w14:paraId="03000000">
      <w:pPr>
        <w:ind w:firstLine="709" w:left="0"/>
        <w:jc w:val="center"/>
        <w:rPr>
          <w:b w:val="1"/>
        </w:rPr>
      </w:pPr>
    </w:p>
    <w:p w14:paraId="04000000">
      <w:pPr>
        <w:ind w:firstLine="709" w:left="0"/>
        <w:jc w:val="both"/>
      </w:pPr>
      <w:r>
        <w:t>Министерством труда и развития кадрового потенциала Камчатского края с 01.10.202</w:t>
      </w:r>
      <w:r>
        <w:t>3</w:t>
      </w:r>
      <w:r>
        <w:t xml:space="preserve"> по 01.11.202</w:t>
      </w:r>
      <w:r>
        <w:t>3</w:t>
      </w:r>
      <w:r>
        <w:t xml:space="preserve"> проведены общественные обсуждения проекта </w:t>
      </w:r>
      <w:r>
        <w:t>Программы профилактики рисков причинения вреда (ущерба) охраняемым законом ценностям на 202</w:t>
      </w:r>
      <w:r>
        <w:t>4</w:t>
      </w:r>
      <w:r>
        <w:t xml:space="preserve"> год</w:t>
      </w:r>
      <w:r>
        <w:t>,</w:t>
      </w:r>
      <w:r>
        <w:t xml:space="preserve"> разработан</w:t>
      </w:r>
      <w:r>
        <w:t>ного</w:t>
      </w:r>
      <w:r>
        <w:t xml:space="preserve"> в соответствии с Федеральным законом от 31.07.2020 № 248-ФЗ                                     «О государственном контроле (надзоре) и муниципальном контроле в Российской Федерации», постановлением </w:t>
      </w:r>
      <w:r>
        <w:t>П</w:t>
      </w:r>
      <w:r>
        <w:t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5000000">
      <w:pPr>
        <w:ind w:firstLine="709" w:left="0"/>
        <w:jc w:val="both"/>
      </w:pPr>
      <w:r>
        <w:t xml:space="preserve">Указанный проект размещен 29.09.2023 на официальной странице Министерства в информационной-телекоммуникационной сети «Интернет» по адресу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"https://www.kamgov.ru/agzanyat/profilaktika-narusenij-obazatelnyh-trebovanij/programma-profilaktiki"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https://www.kamgov.ru/agzanyat/profilaktika-narusenij-obazatelnyh-trebovanij/programma-profilaktiki</w:t>
      </w:r>
      <w:r>
        <w:rPr>
          <w:rStyle w:val="Style_1_ch"/>
        </w:rPr>
        <w:fldChar w:fldCharType="end"/>
      </w:r>
      <w:r>
        <w:t xml:space="preserve"> </w:t>
      </w:r>
    </w:p>
    <w:p w14:paraId="06000000">
      <w:pPr>
        <w:ind/>
        <w:jc w:val="both"/>
      </w:pPr>
      <w:bookmarkStart w:id="1" w:name="_GoBack"/>
      <w:bookmarkEnd w:id="1"/>
      <w:r>
        <w:t xml:space="preserve">(ссылка для скачивания </w:t>
      </w:r>
      <w:r>
        <w:t>https://www.kamgov.ru/agzanyat/document/file/download?id=144216</w:t>
      </w:r>
      <w:r>
        <w:t>)</w:t>
      </w:r>
      <w:r>
        <w:t>.</w:t>
      </w:r>
    </w:p>
    <w:p w14:paraId="07000000">
      <w:pPr>
        <w:ind w:firstLine="709" w:left="0"/>
        <w:jc w:val="both"/>
      </w:pPr>
      <w:r>
        <w:t>Предложения принимались:</w:t>
      </w:r>
    </w:p>
    <w:p w14:paraId="08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почтовым отправлением по адресу: 683000, Камчатский край, г. Петропавловск-Камчатский, ул. Ленинградская, 72, Министерство труда и развития кадрового потенциала Камчатского края;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нарочно по адресу: 683000, Камчатский край, г. Петропавловск-Камчатский, ул. Ленинградская, 72, третий подъезд, третий этаж, приемная Министерства труда и развития кадрового потенциала Камчатского края;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по электронной почте </w:t>
      </w:r>
      <w:r>
        <w:rPr>
          <w:rStyle w:val="Style_1_ch"/>
          <w:rFonts w:ascii="Times New Roman" w:hAnsi="Times New Roman"/>
          <w:b w:val="0"/>
          <w:sz w:val="28"/>
        </w:rPr>
        <w:fldChar w:fldCharType="begin"/>
      </w:r>
      <w:r>
        <w:rPr>
          <w:rStyle w:val="Style_1_ch"/>
          <w:rFonts w:ascii="Times New Roman" w:hAnsi="Times New Roman"/>
          <w:b w:val="0"/>
          <w:sz w:val="28"/>
        </w:rPr>
        <w:instrText>HYPERLINK "mailto:AgZanyat@kamgov.ru"</w:instrText>
      </w:r>
      <w:r>
        <w:rPr>
          <w:rStyle w:val="Style_1_ch"/>
          <w:rFonts w:ascii="Times New Roman" w:hAnsi="Times New Roman"/>
          <w:b w:val="0"/>
          <w:sz w:val="28"/>
        </w:rPr>
        <w:fldChar w:fldCharType="separate"/>
      </w:r>
      <w:r>
        <w:rPr>
          <w:rStyle w:val="Style_1_ch"/>
          <w:rFonts w:ascii="Times New Roman" w:hAnsi="Times New Roman"/>
          <w:b w:val="0"/>
          <w:sz w:val="28"/>
        </w:rPr>
        <w:t>AgZanyat@kamgov.ru</w:t>
      </w:r>
      <w:r>
        <w:rPr>
          <w:rStyle w:val="Style_1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.</w:t>
      </w:r>
    </w:p>
    <w:p w14:paraId="0B000000">
      <w:pPr>
        <w:ind/>
        <w:jc w:val="both"/>
        <w:rPr>
          <w:b w:val="1"/>
        </w:rPr>
      </w:pPr>
      <w:r>
        <w:t xml:space="preserve">Количество экспертов, участвовавших в обсуждении: </w:t>
      </w:r>
      <w:bookmarkStart w:id="2" w:name="OLE_LINK7"/>
      <w:bookmarkStart w:id="3" w:name="OLE_LINK8"/>
      <w:r>
        <w:rPr>
          <w:b w:val="1"/>
        </w:rPr>
        <w:t>0</w:t>
      </w:r>
      <w:bookmarkEnd w:id="2"/>
      <w:bookmarkEnd w:id="3"/>
      <w:r>
        <w:rPr>
          <w:b w:val="1"/>
        </w:rPr>
        <w:t>.</w:t>
      </w:r>
    </w:p>
    <w:p w14:paraId="0C000000">
      <w:pPr>
        <w:ind/>
        <w:jc w:val="both"/>
        <w:rPr>
          <w:b w:val="1"/>
        </w:rPr>
      </w:pPr>
      <w:r>
        <w:t>Отчет</w:t>
      </w:r>
      <w:r>
        <w:t xml:space="preserve"> составлен</w:t>
      </w:r>
      <w:r>
        <w:t>:</w:t>
      </w:r>
      <w:r>
        <w:rPr>
          <w:b w:val="1"/>
        </w:rPr>
        <w:t xml:space="preserve"> </w:t>
      </w:r>
      <w:r>
        <w:rPr>
          <w:b w:val="1"/>
        </w:rPr>
        <w:t>06</w:t>
      </w:r>
      <w:r>
        <w:rPr>
          <w:b w:val="1"/>
        </w:rPr>
        <w:t>.12.202</w:t>
      </w:r>
      <w:r>
        <w:rPr>
          <w:b w:val="1"/>
        </w:rPr>
        <w:t>3</w:t>
      </w:r>
    </w:p>
    <w:p w14:paraId="0D000000">
      <w:pPr>
        <w:ind/>
        <w:jc w:val="both"/>
      </w:pPr>
    </w:p>
    <w:tbl>
      <w:tblPr>
        <w:tblStyle w:val="Style_3"/>
        <w:tblInd w:type="dxa" w:w="50"/>
        <w:tblLayout w:type="fixed"/>
      </w:tblPr>
      <w:tblGrid>
        <w:gridCol w:w="937"/>
        <w:gridCol w:w="3543"/>
        <w:gridCol w:w="5529"/>
        <w:gridCol w:w="4733"/>
      </w:tblGrid>
      <w:tr>
        <w:trPr>
          <w:trHeight w:hRule="atLeast" w:val="270"/>
        </w:trPr>
        <w:tc>
          <w:tcPr>
            <w:tcW w:type="dxa" w:w="937"/>
            <w:vAlign w:val="center"/>
          </w:tcPr>
          <w:p w14:paraId="0E000000">
            <w:pPr>
              <w:ind/>
              <w:jc w:val="center"/>
            </w:pPr>
            <w:r>
              <w:rPr>
                <w:b w:val="1"/>
              </w:rPr>
              <w:t>№</w:t>
            </w:r>
          </w:p>
        </w:tc>
        <w:tc>
          <w:tcPr>
            <w:tcW w:type="dxa" w:w="3543"/>
            <w:vAlign w:val="center"/>
          </w:tcPr>
          <w:p w14:paraId="0F000000">
            <w:pPr>
              <w:ind/>
              <w:jc w:val="center"/>
            </w:pPr>
            <w:r>
              <w:rPr>
                <w:b w:val="1"/>
              </w:rPr>
              <w:t>Участник обсуждения</w:t>
            </w:r>
          </w:p>
        </w:tc>
        <w:tc>
          <w:tcPr>
            <w:tcW w:type="dxa" w:w="5529"/>
            <w:vAlign w:val="center"/>
          </w:tcPr>
          <w:p w14:paraId="10000000">
            <w:pPr>
              <w:ind/>
              <w:jc w:val="center"/>
            </w:pPr>
            <w:r>
              <w:rPr>
                <w:b w:val="1"/>
              </w:rPr>
              <w:t>Позиция участника обсуждения</w:t>
            </w:r>
          </w:p>
        </w:tc>
        <w:tc>
          <w:tcPr>
            <w:tcW w:type="dxa" w:w="4733"/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</w:rPr>
              <w:t>Комментарии разработчика</w:t>
            </w:r>
          </w:p>
        </w:tc>
      </w:tr>
    </w:tbl>
    <w:p w14:paraId="12000000"/>
    <w:tbl>
      <w:tblPr>
        <w:tblStyle w:val="Style_4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</w:tblCellMar>
      </w:tblPr>
      <w:tblGrid>
        <w:gridCol w:w="13103"/>
        <w:gridCol w:w="1639"/>
      </w:tblGrid>
      <w:tr>
        <w:tc>
          <w:tcPr>
            <w:tcW w:type="dxa" w:w="1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</w:tcMar>
          </w:tcPr>
          <w:p w14:paraId="13000000">
            <w:r>
              <w:t>Общее количество поступивших предложений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</w:tcMar>
          </w:tcPr>
          <w:p w14:paraId="14000000">
            <w:pPr>
              <w:ind/>
              <w:jc w:val="both"/>
            </w:pPr>
            <w:r>
              <w:t>0</w:t>
            </w:r>
          </w:p>
        </w:tc>
      </w:tr>
      <w:tr>
        <w:tc>
          <w:tcPr>
            <w:tcW w:type="dxa" w:w="1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</w:tcMar>
          </w:tcPr>
          <w:p w14:paraId="15000000">
            <w:pPr>
              <w:ind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</w:tcMar>
          </w:tcPr>
          <w:p w14:paraId="16000000">
            <w:pPr>
              <w:ind/>
              <w:jc w:val="both"/>
            </w:pPr>
            <w:r>
              <w:t>0</w:t>
            </w:r>
          </w:p>
        </w:tc>
      </w:tr>
      <w:tr>
        <w:tc>
          <w:tcPr>
            <w:tcW w:type="dxa" w:w="1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</w:tcMar>
          </w:tcPr>
          <w:p w14:paraId="17000000">
            <w:pPr>
              <w:ind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</w:tcMar>
          </w:tcPr>
          <w:p w14:paraId="18000000">
            <w:pPr>
              <w:ind/>
              <w:jc w:val="both"/>
            </w:pPr>
            <w:r>
              <w:t>0</w:t>
            </w:r>
          </w:p>
        </w:tc>
      </w:tr>
      <w:tr>
        <w:tc>
          <w:tcPr>
            <w:tcW w:type="dxa" w:w="1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</w:tcMar>
          </w:tcPr>
          <w:p w14:paraId="19000000">
            <w:pPr>
              <w:ind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</w:tcMar>
          </w:tcPr>
          <w:p w14:paraId="1A000000">
            <w:pPr>
              <w:ind/>
              <w:jc w:val="both"/>
            </w:pPr>
            <w:r>
              <w:t>0</w:t>
            </w:r>
          </w:p>
        </w:tc>
      </w:tr>
    </w:tbl>
    <w:p w14:paraId="1B000000">
      <w:pPr>
        <w:pStyle w:val="Style_2"/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</w:p>
    <w:sectPr>
      <w:pgSz w:h="11906" w:orient="landscape" w:w="16838"/>
      <w:pgMar w:bottom="851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Balloon Text"/>
    <w:basedOn w:val="Style_5"/>
    <w:link w:val="Style_6_ch"/>
    <w:rPr>
      <w:rFonts w:ascii="Segoe UI" w:hAnsi="Segoe UI"/>
      <w:sz w:val="18"/>
    </w:rPr>
  </w:style>
  <w:style w:styleId="Style_6_ch" w:type="character">
    <w:name w:val="Balloon Text"/>
    <w:basedOn w:val="Style_5_ch"/>
    <w:link w:val="Style_6"/>
    <w:rPr>
      <w:rFonts w:ascii="Segoe UI" w:hAnsi="Segoe UI"/>
      <w:sz w:val="18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yperlink"/>
    <w:basedOn w:val="Style_16"/>
    <w:link w:val="Style_1_ch"/>
    <w:rPr>
      <w:color w:themeColor="hyperlink" w:val="0563C1"/>
      <w:u w:val="single"/>
    </w:rPr>
  </w:style>
  <w:style w:styleId="Style_1_ch" w:type="character">
    <w:name w:val="Hyperlink"/>
    <w:basedOn w:val="Style_16_ch"/>
    <w:link w:val="Style_1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_body"/>
    <w:rPr>
      <w:rFonts w:ascii="Arial" w:hAnsi="Arial"/>
      <w:sz w:val="20"/>
    </w:rPr>
    <w:tblPr>
      <w:tblBorders>
        <w:top w:color="000000" w:sz="5" w:val="single"/>
        <w:left w:color="000000" w:sz="5" w:val="single"/>
        <w:bottom w:color="000000" w:sz="5" w:val="single"/>
        <w:right w:color="000000" w:sz="5" w:val="single"/>
        <w:insideH w:color="000000" w:sz="5" w:val="single"/>
        <w:insideV w:color="000000" w:sz="5" w:val="single"/>
      </w:tblBorders>
      <w:tblCellMar>
        <w:top w:type="dxa" w:w="50"/>
        <w:left w:type="dxa" w:w="50"/>
        <w:bottom w:type="dxa" w:w="50"/>
        <w:right w:type="dxa" w:w="5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2023-12-05T21:28:48Z</dcterms:modified>
</cp:coreProperties>
</file>