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20"/>
      </w:tblGrid>
      <w:tr>
        <w:tc>
          <w:tcPr>
            <w:tcW w:type="dxa" w:w="962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 от 21.09.2021 № 404-П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Положения о региональном государственном контроле (надзоре) за приемом на работу инвалидов в пределах установленной квоты в Камчатском крае»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21.09.2021 № 404-П «Об утверждении Положения о региональном государственном контроле (надзоре) за приемом на работу инвалидов в пределах установленной квоты в Камчатском крае» следующ</w:t>
      </w:r>
      <w:r>
        <w:rPr>
          <w:rFonts w:ascii="Times New Roman" w:hAnsi="Times New Roman"/>
          <w:sz w:val="28"/>
        </w:rPr>
        <w:t>ие изменения:</w:t>
      </w:r>
    </w:p>
    <w:p w14:paraId="16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таблицу части 11 изложить в редакции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постановлению;</w:t>
      </w:r>
    </w:p>
    <w:p w14:paraId="17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12 изложить в следующей редакции:</w:t>
      </w:r>
    </w:p>
    <w:p w14:paraId="18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«12. Периодичность проведения плановых контрольных (надзорных) мероприятий определяется в зависимости от присвоенной </w:t>
      </w:r>
      <w:r>
        <w:rPr>
          <w:rFonts w:ascii="Times New Roman" w:hAnsi="Times New Roman"/>
          <w:sz w:val="28"/>
        </w:rPr>
        <w:t>объекту контроля категории риска:</w:t>
      </w:r>
    </w:p>
    <w:p w14:paraId="19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категории высокого риска - 1 раз в 2 года; </w:t>
      </w:r>
    </w:p>
    <w:p w14:paraId="1A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категории среднего риска - 1 раз в 4 года;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категории умеренного риска - 1 раз в 6 лет;</w:t>
      </w:r>
    </w:p>
    <w:p w14:paraId="1C000000">
      <w:pPr>
        <w:tabs>
          <w:tab w:leader="none" w:pos="993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для категории н</w:t>
      </w:r>
      <w:bookmarkStart w:id="2" w:name="_GoBack"/>
      <w:bookmarkEnd w:id="2"/>
      <w:r>
        <w:rPr>
          <w:rFonts w:ascii="Times New Roman" w:hAnsi="Times New Roman"/>
          <w:sz w:val="28"/>
        </w:rPr>
        <w:t>изкого риска - плановые контрольные (надзорные) мероприяти</w:t>
      </w:r>
      <w:r>
        <w:rPr>
          <w:rFonts w:ascii="Times New Roman" w:hAnsi="Times New Roman"/>
          <w:sz w:val="28"/>
        </w:rPr>
        <w:t>я не проводятся.»;</w:t>
      </w:r>
    </w:p>
    <w:p w14:paraId="1D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13 после слов «</w:t>
      </w:r>
      <w:r>
        <w:rPr>
          <w:rFonts w:ascii="Times New Roman" w:hAnsi="Times New Roman"/>
          <w:sz w:val="28"/>
        </w:rPr>
        <w:t>объектов контроля» дополнить словом «высокого,»;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часть 34 дополнить словами «, а также в отношении объектов контроля (надзора), отнесенны</w:t>
      </w:r>
      <w:r>
        <w:rPr>
          <w:rFonts w:ascii="Times New Roman" w:hAnsi="Times New Roman"/>
          <w:sz w:val="28"/>
        </w:rPr>
        <w:t>х к категориям высокого риска на основании решения о проведении профилактического визита.».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>
        <w:rPr>
          <w:rFonts w:ascii="Times New Roman" w:hAnsi="Times New Roman"/>
          <w:sz w:val="28"/>
        </w:rPr>
        <w:t>после дня его официального опубликования.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8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F000000"/>
    <w:p w14:paraId="40000000">
      <w:pPr>
        <w:spacing w:after="120" w:before="120"/>
        <w:ind w:firstLine="420" w:left="7915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«Таблица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20"/>
        <w:gridCol w:w="7507"/>
        <w:gridCol w:w="1410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00000">
            <w:pPr>
              <w:spacing w:after="0" w:line="240" w:lineRule="auto"/>
              <w:ind w:firstLine="0" w:left="60"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type="dxa" w:w="7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00000">
            <w:pPr>
              <w:spacing w:after="0" w:line="240" w:lineRule="auto"/>
              <w:ind w:firstLine="0" w:left="60"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отнесения объектов контроля к категориям риска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00000">
            <w:pPr>
              <w:spacing w:after="0" w:line="240" w:lineRule="auto"/>
              <w:ind w:firstLine="0" w:left="60"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риска</w:t>
            </w:r>
          </w:p>
        </w:tc>
      </w:tr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00000">
            <w:pPr>
              <w:spacing w:after="0" w:line="240" w:lineRule="auto"/>
              <w:ind w:firstLine="0" w:left="60"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7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00000">
            <w:pPr>
              <w:spacing w:after="0" w:line="240" w:lineRule="auto"/>
              <w:ind w:firstLine="0" w:left="60"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00000">
            <w:pPr>
              <w:spacing w:after="0" w:line="240" w:lineRule="auto"/>
              <w:ind w:firstLine="0" w:left="60"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00000">
            <w:pPr>
              <w:spacing w:after="0" w:line="240" w:lineRule="auto"/>
              <w:ind w:firstLine="0" w:left="60"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7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00000">
            <w:pPr>
              <w:spacing w:after="0" w:line="240" w:lineRule="auto"/>
              <w:ind w:firstLine="0" w:left="62" w:right="6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 работодателей, имеющих численность работников не менее 35 человек, </w:t>
            </w:r>
            <w:r>
              <w:rPr>
                <w:rFonts w:ascii="Times New Roman" w:hAnsi="Times New Roman"/>
                <w:color w:val="000000"/>
                <w:sz w:val="24"/>
              </w:rPr>
              <w:t>при наличии в те</w:t>
            </w:r>
            <w:r>
              <w:rPr>
                <w:rFonts w:ascii="Times New Roman" w:hAnsi="Times New Roman"/>
                <w:color w:val="000000"/>
                <w:sz w:val="24"/>
              </w:rPr>
              <w:t>чение трех лет, предшествующих текущему году</w:t>
            </w:r>
            <w:r>
              <w:rPr>
                <w:rFonts w:ascii="Times New Roman" w:hAnsi="Times New Roman"/>
                <w:color w:val="000000"/>
                <w:sz w:val="24"/>
              </w:rPr>
              <w:t>, о</w:t>
            </w:r>
            <w:r>
              <w:rPr>
                <w:rFonts w:ascii="Times New Roman" w:hAnsi="Times New Roman"/>
                <w:color w:val="000000"/>
                <w:sz w:val="24"/>
              </w:rPr>
              <w:t>дного из следующих условий: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9000000">
            <w:pPr>
              <w:numPr>
                <w:numId w:val="3"/>
              </w:num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вступившего в законную силу постановления о назначении административного наказания </w:t>
            </w:r>
            <w:r>
              <w:rPr>
                <w:rFonts w:ascii="Times New Roman" w:hAnsi="Times New Roman"/>
                <w:color w:val="000000"/>
                <w:sz w:val="24"/>
              </w:rPr>
              <w:t>должностному лицу работодателя (работодателю) за административное правонарушение, предусмотренное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частью 1 статьи 19.5 Кодекса Российской Федерации об административных правонарушениях (</w:t>
            </w:r>
            <w:r>
              <w:rPr>
                <w:rFonts w:ascii="Times New Roman" w:hAnsi="Times New Roman"/>
                <w:color w:val="000000"/>
                <w:sz w:val="24"/>
              </w:rPr>
              <w:t>в связи с неисполнением предписания в области квотирования рабочих мест для приема на работу инвалидов)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4A000000">
            <w:pPr>
              <w:numPr>
                <w:numId w:val="3"/>
              </w:num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вступление в законную силу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остановления о прекращении производства по делу об административном правонарушении, предусмотренном </w:t>
            </w:r>
            <w:r>
              <w:rPr>
                <w:rFonts w:ascii="Times New Roman" w:hAnsi="Times New Roman"/>
                <w:color w:val="000000"/>
                <w:sz w:val="24"/>
              </w:rPr>
              <w:t>частью 1 статьи 19.5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Кодекса Российс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кой Федерации об административных правонарушениях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в связи с неисполнением предписания в области квотирования рабочих мест для приема на работу инвалидов)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 отношении должностного лица работодателя (работодателя) на основании </w:t>
            </w:r>
            <w:r>
              <w:rPr>
                <w:rFonts w:ascii="Times New Roman" w:hAnsi="Times New Roman"/>
                <w:color w:val="000000"/>
                <w:sz w:val="24"/>
              </w:rPr>
              <w:t>пункта 2 части 1.1 статьи 29.9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пункта 6 части 1 статьи 24.5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Кодекса Российской Федерации об административных правонарушениях.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00000">
            <w:pPr>
              <w:spacing w:after="0" w:line="240" w:lineRule="auto"/>
              <w:ind w:firstLine="0" w:left="60"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Категория высокого риска</w:t>
            </w:r>
          </w:p>
        </w:tc>
      </w:tr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00000">
            <w:pPr>
              <w:spacing w:after="0" w:line="240" w:lineRule="auto"/>
              <w:ind w:firstLine="0" w:left="60"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7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00000">
            <w:pPr>
              <w:spacing w:after="0" w:line="240" w:lineRule="auto"/>
              <w:ind w:firstLine="0" w:left="62" w:right="6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работодателей, имеющих численность работников не менее 35 человек, при наличии в те</w:t>
            </w:r>
            <w:r>
              <w:rPr>
                <w:rFonts w:ascii="Times New Roman" w:hAnsi="Times New Roman"/>
                <w:color w:val="000000"/>
                <w:sz w:val="24"/>
              </w:rPr>
              <w:t>чение трех лет, предшествующих текущему году, одного из следующих условий:</w:t>
            </w:r>
          </w:p>
          <w:p w14:paraId="4E000000">
            <w:pPr>
              <w:spacing w:after="0" w:line="240" w:lineRule="auto"/>
              <w:ind w:firstLine="0" w:left="62" w:right="6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1) вступление в законную силу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остановления о назначении административного наказания должностному лицу работодателя (работодателю) за административное правонарушение, предусмотренно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</w:rPr>
              <w:t>частью 1 статьи 5.42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Кодекса Российской Федерации об административных правонарушениях;</w:t>
            </w:r>
          </w:p>
          <w:p w14:paraId="4F000000">
            <w:pPr>
              <w:spacing w:after="0" w:line="240" w:lineRule="auto"/>
              <w:ind w:firstLine="0" w:left="62" w:right="6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2) вступление в законную силу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остановления о прекращении производства по делу об административном правонарушении, предусмотренном </w:t>
            </w:r>
            <w:r>
              <w:rPr>
                <w:rFonts w:ascii="Times New Roman" w:hAnsi="Times New Roman"/>
                <w:color w:val="000000"/>
                <w:sz w:val="24"/>
              </w:rPr>
              <w:t>частью 1 статьи 5.42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Кодекса Российс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кой Федерации об административных правонарушениях, в отношении должностного лица работодателя (работодателя) на основании </w:t>
            </w:r>
            <w:r>
              <w:rPr>
                <w:rFonts w:ascii="Times New Roman" w:hAnsi="Times New Roman"/>
                <w:color w:val="000000"/>
                <w:sz w:val="24"/>
              </w:rPr>
              <w:t>пункта 2 части 1.1 статьи 29.9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пункта 6 части 1 статьи 24.5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00000">
            <w:pPr>
              <w:spacing w:after="0" w:line="240" w:lineRule="auto"/>
              <w:ind w:firstLine="0" w:left="60"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атег</w:t>
            </w:r>
            <w:r>
              <w:rPr>
                <w:rFonts w:ascii="Times New Roman" w:hAnsi="Times New Roman"/>
                <w:color w:val="000000"/>
                <w:sz w:val="24"/>
              </w:rPr>
              <w:t>ория среднего риска</w:t>
            </w:r>
          </w:p>
        </w:tc>
      </w:tr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spacing w:after="0" w:line="240" w:lineRule="auto"/>
              <w:ind w:firstLine="0" w:left="60"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7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00000">
            <w:pPr>
              <w:spacing w:after="0" w:line="240" w:lineRule="auto"/>
              <w:ind w:firstLine="0" w:left="62" w:right="6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работодателей, имеющих численность работников не менее 35 человек, при наличии в течение трех лет, предшествующих текущему году, одного из следующих условий:</w:t>
            </w:r>
          </w:p>
          <w:p w14:paraId="53000000">
            <w:pPr>
              <w:spacing w:after="0" w:line="240" w:lineRule="auto"/>
              <w:ind w:firstLine="0" w:left="62" w:right="6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1) выдача предостережения о недопустимости нарушения </w:t>
            </w:r>
            <w:r>
              <w:rPr>
                <w:rFonts w:ascii="Times New Roman" w:hAnsi="Times New Roman"/>
                <w:color w:val="000000"/>
                <w:sz w:val="24"/>
              </w:rPr>
              <w:t>обязательных требований;</w:t>
            </w:r>
          </w:p>
          <w:p w14:paraId="54000000">
            <w:pPr>
              <w:spacing w:after="0" w:line="240" w:lineRule="auto"/>
              <w:ind w:firstLine="0" w:left="62" w:right="6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2) вступление в законную силу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остановления о назначении административного наказания должностному лицу работодателя (работодателю) за административное правонарушение, предусмотренное </w:t>
            </w:r>
            <w:r>
              <w:rPr>
                <w:rFonts w:ascii="Times New Roman" w:hAnsi="Times New Roman"/>
                <w:color w:val="000000"/>
                <w:sz w:val="24"/>
              </w:rPr>
              <w:t>статьей 19.7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Кодекса Российской Федерации об адм</w:t>
            </w:r>
            <w:r>
              <w:rPr>
                <w:rFonts w:ascii="Times New Roman" w:hAnsi="Times New Roman"/>
                <w:color w:val="000000"/>
                <w:sz w:val="24"/>
              </w:rPr>
              <w:t>инистративных правонарушениях (в связи с неисполнением обязанностей в области квотирования рабочих мест для приема на работу инвалидов);</w:t>
            </w:r>
          </w:p>
          <w:p w14:paraId="55000000">
            <w:pPr>
              <w:spacing w:after="0" w:line="240" w:lineRule="auto"/>
              <w:ind w:firstLine="0" w:left="62" w:right="6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3) вступление в законную силу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остановления о прекращении производства по делу об административном правонарушении, пред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усмотренном </w:t>
            </w:r>
            <w:r>
              <w:rPr>
                <w:rFonts w:ascii="Times New Roman" w:hAnsi="Times New Roman"/>
                <w:color w:val="000000"/>
                <w:sz w:val="24"/>
              </w:rPr>
              <w:t>статьей 19.7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Кодекса Российской Федерации об административных правонарушениях (в связи с неисполнением обязанностей в области квотирования рабочих мест для приема на </w:t>
            </w:r>
            <w:r>
              <w:rPr>
                <w:rFonts w:ascii="Times New Roman" w:hAnsi="Times New Roman"/>
                <w:color w:val="000000"/>
                <w:sz w:val="24"/>
              </w:rPr>
              <w:t>работу инвалидов), в отношении должностного лица работодателя (работодателя)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основании </w:t>
            </w:r>
            <w:r>
              <w:rPr>
                <w:rFonts w:ascii="Times New Roman" w:hAnsi="Times New Roman"/>
                <w:color w:val="000000"/>
                <w:sz w:val="24"/>
              </w:rPr>
              <w:t>пункта 2 части 1.1 статьи 29.9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пункта 6 части 1 статьи 24.5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00000">
            <w:pPr>
              <w:spacing w:after="0" w:line="240" w:lineRule="auto"/>
              <w:ind w:firstLine="0" w:left="60"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атегория умеренного риска</w:t>
            </w:r>
          </w:p>
        </w:tc>
      </w:tr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00000">
            <w:pPr>
              <w:spacing w:after="0" w:line="240" w:lineRule="auto"/>
              <w:ind w:firstLine="0" w:left="60"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7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00000">
            <w:pPr>
              <w:spacing w:after="0" w:line="240" w:lineRule="auto"/>
              <w:ind w:firstLine="0" w:left="62" w:right="6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работодателей, имеющих численность работников не менее 35 человек, за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сключением работодателей, относящихся к категориям </w:t>
            </w:r>
            <w:r>
              <w:rPr>
                <w:rFonts w:ascii="Times New Roman" w:hAnsi="Times New Roman"/>
                <w:color w:val="000000"/>
                <w:sz w:val="24"/>
              </w:rPr>
              <w:t>умеренного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среднего </w:t>
            </w:r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высокого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риска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00000">
            <w:pPr>
              <w:spacing w:after="0" w:line="240" w:lineRule="auto"/>
              <w:ind w:firstLine="0" w:left="60"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атегория низкого риска</w:t>
            </w:r>
          </w:p>
        </w:tc>
      </w:tr>
    </w:tbl>
    <w:p w14:paraId="5A000000">
      <w:pPr>
        <w:rPr>
          <w:rFonts w:ascii="Times New Roman" w:hAnsi="Times New Roman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>
        <w:rPr>
          <w:rFonts w:ascii="Times New Roman" w:hAnsi="Times New Roman"/>
          <w:sz w:val="28"/>
        </w:rPr>
        <w:t xml:space="preserve"> ».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Гиперссылка1"/>
    <w:basedOn w:val="Style_9"/>
    <w:link w:val="Style_8_ch"/>
    <w:rPr>
      <w:color w:themeColor="hyperlink" w:val="0563C1"/>
      <w:u w:val="single"/>
    </w:rPr>
  </w:style>
  <w:style w:styleId="Style_8_ch" w:type="character">
    <w:name w:val="Гиперссылка1"/>
    <w:basedOn w:val="Style_9_ch"/>
    <w:link w:val="Style_8"/>
    <w:rPr>
      <w:color w:themeColor="hyperlink" w:val="0563C1"/>
      <w:u w:val="single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3_ch"/>
    <w:link w:val="Style_12"/>
    <w:rPr>
      <w:rFonts w:ascii="Times New Roman" w:hAnsi="Times New Roman"/>
      <w:sz w:val="28"/>
    </w:rPr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3_ch"/>
    <w:link w:val="Style_21"/>
    <w:rPr>
      <w:rFonts w:ascii="Segoe UI" w:hAnsi="Segoe UI"/>
      <w:sz w:val="1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header"/>
    <w:basedOn w:val="Style_3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3_ch"/>
    <w:link w:val="Style_23"/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Plain Text"/>
    <w:basedOn w:val="Style_3"/>
    <w:link w:val="Style_29_ch"/>
    <w:pPr>
      <w:spacing w:after="0" w:line="240" w:lineRule="auto"/>
      <w:ind/>
    </w:pPr>
    <w:rPr>
      <w:rFonts w:ascii="Calibri" w:hAnsi="Calibri"/>
    </w:rPr>
  </w:style>
  <w:style w:styleId="Style_29_ch" w:type="character">
    <w:name w:val="Plain Text"/>
    <w:basedOn w:val="Style_3_ch"/>
    <w:link w:val="Style_29"/>
    <w:rPr>
      <w:rFonts w:ascii="Calibri" w:hAnsi="Calibri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2023-07-31T05:39:49Z</dcterms:modified>
</cp:coreProperties>
</file>