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09" y="0"/>
                <wp:lineTo x="-209" y="20722"/>
                <wp:lineTo x="20759" y="20722"/>
                <wp:lineTo x="20759" y="0"/>
                <wp:lineTo x="-209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ТРУДА И РАЗВИТИЯ КАДРОВОГО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ПОТЕНЦИАЛА КАМЧАТСКОГО КРАЯ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395"/>
      </w:tblGrid>
      <w:tr>
        <w:trPr>
          <w:trHeight w:val="380" w:hRule="exact"/>
        </w:trPr>
        <w:tc>
          <w:tcPr>
            <w:tcW w:w="439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bookmarkStart w:id="0" w:name="REGNUMDATESTAMP"/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 w:ascii="Times New Roman" w:hAnsi="Times New Roman"/>
                <w:szCs w:val="24"/>
                <w:lang w:val="en-US"/>
              </w:rPr>
              <w:t>Дата регистрации] № [Номер документа]</w:t>
            </w:r>
            <w:bookmarkEnd w:id="0"/>
          </w:p>
        </w:tc>
      </w:tr>
    </w:tbl>
    <w:p>
      <w:pPr>
        <w:pStyle w:val="Normal"/>
        <w:spacing w:lineRule="auto" w:line="276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831"/>
        <w:tblW w:w="9923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23"/>
      </w:tblGrid>
      <w:tr>
        <w:trPr/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 xml:space="preserve">О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 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целях обеспечения согласованных действий территориальных органов федеральных органов исполнительной власти по Камчатскому краю, исполнительных органов Камчатского края, государственных внебюджетных фондов, других заинтересованных организаций в решении задач ликвидации задолженности по выплате заработной платы и уплате налогов (сборов) в бюджеты всех уровней и страховых взносов в государственные внебюджетные фонды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Образовать Межведомственную комиссию п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Утвердить Положение о М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согласно приложению 1.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Утвердить состав М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согласно приложению 2.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left="0" w:firstLine="709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Настоящий приказ вступает в силу после </w:t>
      </w:r>
      <w:r>
        <w:rPr>
          <w:rFonts w:cs="Times New Roman" w:ascii="Times New Roman" w:hAnsi="Times New Roman"/>
          <w:sz w:val="28"/>
          <w:szCs w:val="28"/>
        </w:rPr>
        <w:t xml:space="preserve">дня </w:t>
      </w:r>
      <w:r>
        <w:rPr>
          <w:rFonts w:eastAsia="Calibri" w:cs="Times New Roman" w:ascii="Times New Roman" w:hAnsi="Times New Roman"/>
          <w:sz w:val="28"/>
          <w:szCs w:val="28"/>
        </w:rPr>
        <w:t>его официального опубликования.</w:t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10065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388"/>
        <w:gridCol w:w="4551"/>
        <w:gridCol w:w="2126"/>
      </w:tblGrid>
      <w:tr>
        <w:trPr>
          <w:trHeight w:val="1335" w:hRule="atLeast"/>
        </w:trPr>
        <w:tc>
          <w:tcPr>
            <w:tcW w:w="338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4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Исполняющий обязанности</w:t>
            </w:r>
          </w:p>
          <w:p>
            <w:pPr>
              <w:pStyle w:val="Normal"/>
              <w:widowControl w:val="false"/>
              <w:spacing w:before="0" w:after="0"/>
              <w:ind w:hanging="4"/>
              <w:rPr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Министра</w:t>
            </w:r>
          </w:p>
        </w:tc>
        <w:tc>
          <w:tcPr>
            <w:tcW w:w="45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116" w:hanging="0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>
              <w:rPr>
                <w:rFonts w:cs="Times New Roman"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before="0"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right="-6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Голованов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8" w:right="851" w:gutter="0" w:header="0" w:top="1134" w:footer="0" w:bottom="1134"/>
          <w:pgNumType w:start="1" w:fmt="decimal"/>
          <w:formProt w:val="false"/>
          <w:titlePg/>
          <w:textDirection w:val="lrTb"/>
          <w:docGrid w:type="default" w:linePitch="360" w:charSpace="4096"/>
        </w:sectPr>
      </w:pPr>
      <w:r>
        <w:br w:type="page"/>
      </w:r>
    </w:p>
    <w:p>
      <w:pPr>
        <w:pStyle w:val="Normal"/>
        <w:spacing w:before="0" w:after="160"/>
        <w:ind w:left="4876" w:hanging="0"/>
        <w:contextualSpacing/>
        <w:rPr>
          <w:rFonts w:ascii="Times New Roman" w:hAnsi="Times New Roman" w:cs="Times New Roman"/>
          <w:sz w:val="28"/>
        </w:rPr>
      </w:pPr>
      <w:bookmarkStart w:id="2" w:name="_GoBack_Copy_1"/>
      <w:bookmarkStart w:id="3" w:name="_GoBack_Copy_1_Copy_1"/>
      <w:bookmarkEnd w:id="2"/>
      <w:bookmarkEnd w:id="3"/>
      <w:r>
        <w:rPr>
          <w:rFonts w:cs="Times New Roman" w:ascii="Times New Roman" w:hAnsi="Times New Roman"/>
          <w:sz w:val="28"/>
        </w:rPr>
        <w:t xml:space="preserve">Приложение 1 </w:t>
      </w:r>
    </w:p>
    <w:p>
      <w:pPr>
        <w:pStyle w:val="Normal"/>
        <w:spacing w:before="0" w:after="160"/>
        <w:ind w:left="4876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 приказу Министерства труда и развития кадрового потенциала Камчатского края </w:t>
      </w:r>
    </w:p>
    <w:p>
      <w:pPr>
        <w:pStyle w:val="Normal"/>
        <w:tabs>
          <w:tab w:val="clear" w:pos="708"/>
          <w:tab w:val="left" w:pos="5550" w:leader="none"/>
        </w:tabs>
        <w:spacing w:before="0" w:after="160"/>
        <w:ind w:left="4876" w:hanging="0"/>
        <w:contextualSpacing/>
        <w:rPr>
          <w:rFonts w:ascii="Times New Roman" w:hAnsi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>[</w:t>
      </w:r>
      <w:r>
        <w:rPr>
          <w:rFonts w:cs="Times New Roman" w:ascii="Times New Roman" w:hAnsi="Times New Roman"/>
          <w:color w:val="E7E6E6" w:themeColor="background2"/>
          <w:sz w:val="24"/>
          <w:szCs w:val="24"/>
        </w:rPr>
        <w:t>Номер документа</w:t>
      </w:r>
      <w:r>
        <w:rPr>
          <w:rFonts w:cs="Times New Roman" w:ascii="Times New Roman" w:hAnsi="Times New Roman"/>
          <w:sz w:val="24"/>
          <w:szCs w:val="24"/>
        </w:rPr>
        <w:t>]</w:t>
      </w:r>
      <w:r>
        <w:rPr>
          <w:rFonts w:eastAsia="Calibri" w:cs="Times New Roman" w:ascii="Times New Roman" w:hAnsi="Times New Roman"/>
          <w:sz w:val="24"/>
          <w:szCs w:val="24"/>
        </w:rPr>
        <w:t xml:space="preserve"> № </w:t>
      </w:r>
      <w:r>
        <w:rPr>
          <w:rFonts w:cs="Times New Roman" w:ascii="Times New Roman" w:hAnsi="Times New Roman"/>
          <w:sz w:val="24"/>
          <w:szCs w:val="24"/>
        </w:rPr>
        <w:t>[</w:t>
      </w:r>
      <w:r>
        <w:rPr>
          <w:rFonts w:cs="Times New Roman" w:ascii="Times New Roman" w:hAnsi="Times New Roman"/>
          <w:color w:val="E7E6E6" w:themeColor="background2"/>
          <w:sz w:val="24"/>
          <w:szCs w:val="24"/>
        </w:rPr>
        <w:t>Дата регистрации</w:t>
      </w:r>
      <w:r>
        <w:rPr>
          <w:rFonts w:cs="Times New Roman" w:ascii="Times New Roman" w:hAnsi="Times New Roman"/>
          <w:sz w:val="24"/>
          <w:szCs w:val="24"/>
        </w:rPr>
        <w:t>]</w:t>
      </w:r>
    </w:p>
    <w:p>
      <w:pPr>
        <w:pStyle w:val="Normal"/>
        <w:spacing w:before="0" w:after="160"/>
        <w:ind w:left="5499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160"/>
        <w:ind w:left="5499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160"/>
        <w:ind w:left="113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</w:rPr>
        <w:t xml:space="preserve">Положение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о М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 xml:space="preserve">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  </w:t>
      </w:r>
    </w:p>
    <w:p>
      <w:pPr>
        <w:pStyle w:val="Normal"/>
        <w:spacing w:before="0" w:after="160"/>
        <w:ind w:left="-142" w:hanging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160"/>
        <w:ind w:left="-142" w:hanging="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1. Общие положения</w:t>
      </w:r>
    </w:p>
    <w:p>
      <w:pPr>
        <w:pStyle w:val="Normal"/>
        <w:spacing w:before="0" w:after="160"/>
        <w:ind w:left="-142" w:hanging="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1. Межведомственная комиссия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 (далее - Комиссия) образована в целях организации взаимодействия и координации исполнительных органов Камчатского края с территориальными органами федеральных исполнительных органов в Камчатском крае, органами местного самоуправления муниципальных образований в Камчатском крае по  вопросам обеспечения своевременной выплаты заработной платы, полнотой поступлений страховых взносов в  государственные внебюджетные фонды на территории Камчатского края.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2. В состав Комиссии входят председатель Комиссии, заместитель председателя Комиссии, секретарь Комиссии и иные члены Комиссии.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 xml:space="preserve">3. Комиссия является координирующим органом, ее решения носят рекомендательный характер.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4.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законами и иными нормативными правовыми актами Камчатского края, а также настоящим Положением.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5. Комиссия осуществляет свою деятельность во взаимодействии с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а также заинтересованными организациями, представители которых не входят в состав Комиссии.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ab/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2. Основные цели и задачи Комиссии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6. Основными целями Комиссии являются содействие своевременной выплате заработной платы и ликвидации ее задолженности, выработка предложений о принятии эффективных мер к организациям - должникам, а также реализация мер, направленных на обеспечение максимального поступления налогов (сборов) в бюджеты всех уровней и страховых взносов в государственные внебюджетные фонды.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7. К основным задачам Комиссии относятся: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1) координация взаимодействия исполнительных органов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других заинтересованных организаций по вопросам несвоевременной выплаты заработной платы и уплаты налогов (сборов) в бюджеты всех уровней и страховых взносов в государственные внебюджетные фонды;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2) выявление причин сокрытия и неуплаты налогов и сборов в бюджеты всех уровней и в государственные внебюджетные фонды;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3) подготовка предложений по пресечению схем ухода организаций от уплаты налогов и сборов в бюджеты всех уровней и в государственные внебюджетные фонды;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5) выработка рекомендаций по организации контроля за поступлением налогов и сборов в бюджеты всех уровней и в государственные внебюджетные фонды;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6) разработка предложений по применению эффективных мер к организациям, имеющим наибольшую задолженность по выплате заработной платы, перечислению налогов и сборов в бюджеты всех уровней и в государственные внебюджетные фонды.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ind w:left="57" w:hanging="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3. Организационные основы деятельности Комиссии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8. Основной формой работы Комиссии является проведение заседаний и принятие решений по рассматриваемым вопросам.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9. Состав Комиссии утверждается приказом Министерства труда и развития кадрового потенциала Камчатского края.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10. Заседание Комиссии ведет председатель Комиссии.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Заседания Комиссии считаются правомочными, если на них присутствует более половины ее членов.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 xml:space="preserve">Решения Комиссии принимаются простым большинством голосов членов Комиссии, присутствующих на заседании, путем открытого голосования. 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В случае равенства голосов решающим голосом является голос председателя Комиссии.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Решения Комиссии оформляются протоколами, которые подписываются председателем Комиссии.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Заседания Комиссии проводятся по мере необходимости, но не реже одного раза в полугодие.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11. Организационно-техническое обеспечение деятельности Комиссии осуществляется Министерством труда и развития кадрового потенциала Камчатского края.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12. Комиссия вправе принимать решение о создании рабочих групп по вопросам обеспечения своевременной выплаты заработной платы работникам.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ind w:left="57" w:hanging="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4. Права и обязанности Комиссии, ее председателя,</w:t>
      </w:r>
    </w:p>
    <w:p>
      <w:pPr>
        <w:pStyle w:val="Normal"/>
        <w:spacing w:before="0" w:after="160"/>
        <w:ind w:left="57" w:hanging="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заместителя председателя, членов Комиссии и секретаря</w:t>
      </w:r>
    </w:p>
    <w:p>
      <w:pPr>
        <w:pStyle w:val="Normal"/>
        <w:spacing w:before="0" w:after="160"/>
        <w:ind w:left="57" w:hanging="0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13. Комиссия для выполнения возложенных на нее задач имеет право: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1) запрашивать и получать в установленном порядке от соответствующих территориальных органов федеральных органов исполнительной власти по Камчатскому краю, исполнительных органов Камчатского края, органов местного самоуправления муниципальных образований в Камчатском крае, а также организаций и работодателей необходимую информацию по вопросам, относящимся к компетенции Комиссии;</w:t>
      </w:r>
    </w:p>
    <w:p>
      <w:pPr>
        <w:pStyle w:val="Normal"/>
        <w:spacing w:before="0" w:after="160"/>
        <w:ind w:left="57"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2) приглашать и заслушивать на заседаниях Комиссии представителей руководства организаций по вопросам нарушения трудового и налогового законодательства в части несвоевременной выплаты заработной платы, сокрытия и (или) неуплаты налогов (сборов) в бюджеты всех уровней и страховых взносов в государственные внебюджетные фонды;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3) подготавливать рекомендации и предложения по принятию в установленном порядке соответствующих мер оперативного реагирования по вопросам ликвидации задолженности по заработной плате и (или) по уплате налогов и сборов;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ab/>
        <w:t>4) запрашивать и получать информацию от соответствующих комиссий, образованных органами местного самоуправления муниципальных образований в Камчатском крае, в целях повышения ответственности организаций за несвоевременную выплату заработной выплаты, неполноту и несвоевременность перечисления налогов и сборов.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14. Председатель Комиссии: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1) возглавляет Комиссию, организует ее деятельность;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2) ведет заседание Комиссии и подписывает протокол заседания Комиссии.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15. Заместитель председателя Комиссии в отсутствие председателя Комиссии исполняет обязанности председателя Комиссии.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16. Члены Комиссии имеют право вносить предложения и замечания по повестке заседания Комиссии, предлагать вопросы для рассмотрения Комиссией.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17. Члены Комиссии обязаны информировать Комиссию о результатах выполнения поручений Комиссии, принимать участие в организации и контроле за исполнением решений Комиссии.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 xml:space="preserve">18. </w:t>
      </w:r>
      <w:r>
        <w:rPr>
          <w:rFonts w:cs="Times New Roman" w:ascii="Times New Roman" w:hAnsi="Times New Roman"/>
          <w:color w:val="020B22"/>
          <w:sz w:val="28"/>
        </w:rPr>
        <w:t>Решения Комиссии принимаются большинством голосов от числа членов Комиссии, участвующих в заседании Комиссии. В случае равенства голосов, голос председательствующего является решающим.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19. Секретарь Комиссии (или лицо, временно исполняющее его обязанности) обязан: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1) уведомлять членов Комиссии и приглашенных о времени и месте проведения очередного заседания и о повестке заседания;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2) оформлять протокол заседания, представлять его на подпись председателю Комиссии в срок не позднее 5 рабочих дней со дня заседания Комиссии;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3) вести делопроизводство Комиссии;</w:t>
      </w:r>
    </w:p>
    <w:p>
      <w:pPr>
        <w:sectPr>
          <w:headerReference w:type="default" r:id="rId6"/>
          <w:headerReference w:type="first" r:id="rId7"/>
          <w:footerReference w:type="default" r:id="rId8"/>
          <w:type w:val="nextPage"/>
          <w:pgSz w:w="11906" w:h="16838"/>
          <w:pgMar w:left="1417" w:right="850" w:gutter="0" w:header="1134" w:top="1871" w:footer="1134" w:bottom="1701"/>
          <w:pgNumType w:start="2" w:fmt="decimal"/>
          <w:formProt w:val="false"/>
          <w:titlePg/>
          <w:textDirection w:val="lrTb"/>
          <w:docGrid w:type="default" w:linePitch="360" w:charSpace="4096"/>
        </w:sectPr>
        <w:pStyle w:val="Normal"/>
        <w:spacing w:before="0" w:after="160"/>
        <w:contextualSpacing/>
        <w:jc w:val="both"/>
        <w:rPr>
          <w:rFonts w:ascii="Times New Roman" w:hAnsi="Times New Roman" w:cs="Times New Roman"/>
          <w:color w:val="020B22"/>
          <w:sz w:val="28"/>
        </w:rPr>
      </w:pPr>
      <w:r>
        <w:rPr>
          <w:rFonts w:cs="Times New Roman" w:ascii="Times New Roman" w:hAnsi="Times New Roman"/>
          <w:color w:val="020B22"/>
          <w:sz w:val="28"/>
        </w:rPr>
        <w:tab/>
        <w:t>4) направлять копии протоколов заседаний Комиссии членам Комиссии, руководителям территориальных органов федеральных органов исполнительной власти, органов местного самоуправления муниципальных образований, иных организаций, вопросы которых рассматривались на заседании Комиссии.</w:t>
      </w:r>
      <w:r>
        <w:br w:type="page"/>
      </w:r>
    </w:p>
    <w:p>
      <w:pPr>
        <w:pStyle w:val="Normal"/>
        <w:spacing w:before="0" w:after="160"/>
        <w:ind w:left="4932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Приложение 2 к приказу </w:t>
      </w:r>
    </w:p>
    <w:p>
      <w:pPr>
        <w:pStyle w:val="Normal"/>
        <w:spacing w:before="0" w:after="160"/>
        <w:ind w:left="4932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Министерства труда и развития </w:t>
      </w:r>
    </w:p>
    <w:p>
      <w:pPr>
        <w:pStyle w:val="Normal"/>
        <w:spacing w:before="0" w:after="160"/>
        <w:ind w:left="4932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кадрового потенциала </w:t>
      </w:r>
    </w:p>
    <w:p>
      <w:pPr>
        <w:pStyle w:val="Normal"/>
        <w:spacing w:before="0" w:after="160"/>
        <w:ind w:left="4932" w:hanging="0"/>
        <w:contextualSpacing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Камчатского края </w:t>
      </w:r>
    </w:p>
    <w:p>
      <w:pPr>
        <w:pStyle w:val="Normal"/>
        <w:spacing w:before="0" w:after="160"/>
        <w:ind w:left="4932" w:hanging="0"/>
        <w:contextualSpacing/>
        <w:rPr>
          <w:rFonts w:ascii="Times New Roman" w:hAnsi="Times New Roman" w:cs="Times New Roman"/>
          <w:sz w:val="28"/>
        </w:rPr>
      </w:pPr>
      <w:r>
        <w:rPr>
          <w:rFonts w:eastAsia="Times New Roman"/>
          <w:szCs w:val="28"/>
          <w:lang w:eastAsia="ru-RU"/>
        </w:rPr>
        <w:t xml:space="preserve">от </w:t>
      </w:r>
      <w:r>
        <w:rPr/>
        <w:t>[</w:t>
      </w:r>
      <w:r>
        <w:rPr>
          <w:color w:val="E7E6E6" w:themeColor="background2"/>
        </w:rPr>
        <w:t>Номер документа</w:t>
      </w:r>
      <w:r>
        <w:rPr/>
        <w:t>]</w:t>
      </w:r>
      <w:r>
        <w:rPr>
          <w:rFonts w:eastAsia="Calibri"/>
        </w:rPr>
        <w:t xml:space="preserve"> № </w:t>
      </w:r>
      <w:r>
        <w:rPr/>
        <w:t>[</w:t>
      </w:r>
      <w:r>
        <w:rPr>
          <w:color w:val="E7E6E6" w:themeColor="background2"/>
        </w:rPr>
        <w:t>Дата регистрации</w:t>
      </w:r>
      <w:r>
        <w:rPr/>
        <w:t>]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Состав                                                                                                             Ме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  </w:t>
      </w:r>
      <w:r>
        <w:rPr>
          <w:rFonts w:ascii="Times New Roman" w:hAnsi="Times New Roman"/>
          <w:sz w:val="28"/>
          <w:szCs w:val="28"/>
        </w:rPr>
        <w:t xml:space="preserve">                        (далее – Комиссия)</w:t>
      </w:r>
    </w:p>
    <w:tbl>
      <w:tblPr>
        <w:tblW w:w="9593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229"/>
        <w:gridCol w:w="400"/>
        <w:gridCol w:w="5964"/>
      </w:tblGrid>
      <w:tr>
        <w:trPr/>
        <w:tc>
          <w:tcPr>
            <w:tcW w:w="3229" w:type="dxa"/>
            <w:tcBorders/>
          </w:tcPr>
          <w:p>
            <w:pPr>
              <w:pStyle w:val="Normal"/>
              <w:widowControl w:val="false"/>
              <w:spacing w:lineRule="atLeast" w:line="0"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                               Виктория Ивановна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Камчатского края, председатель Комиссии;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Normal"/>
              <w:widowControl w:val="false"/>
              <w:spacing w:lineRule="atLeast" w:line="11"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Ниценко                              Наталья Борисовна 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развития кадрового потенциала Камчатского края, заместитель председателя Комиссии;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Болтовская                                 Наталья Анатольевна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отдела трудовых отношений Министерства  труда и развития кадрового потенциала Камчатского края, секретарь Комиссии;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lineRule="atLeast" w:line="0"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Бутылин                       Александр Николаевич                               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Style28"/>
              <w:widowControl w:val="false"/>
              <w:spacing w:lineRule="atLeast" w:line="0"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финансов Камчатского края; 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lineRule="atLeast" w:line="0"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Гусько                          Иван Игоревич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 Управления федеральной службы безопасности по Камчатскому краю                                   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                                         Андрей Владимирович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правам человека в Камчатском крае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Мандрик                            Инга Эйнаровна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экономического развития Камчатского края;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Кецко                                    Константин Вадимович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экономической безопасности и противодействия коррупции УМВД России по Камчатскому краю – начальник отдела № 2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Кирилич                                 Максим Алексеевич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Федерации профсоюзов Камчатки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Колгин                            Даниил Александрович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Государственной инспекции труда в Камчатском крае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Коростылев                                   Алексей Владеленович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113" w:leader="none"/>
              </w:tabs>
              <w:spacing w:beforeAutospacing="1"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  <w:tab w:val="left" w:pos="113" w:leader="none"/>
              </w:tabs>
              <w:spacing w:beforeAutospacing="1" w:after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 палаты Камчатского края, Директор филиала ФГУП ВГТРК «Государственная телевизионная и радиовещательная компания «Камчатка»                        (по согласованию);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                                     Юлия Васильевна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федеральной налоговой службы по Камчатскому краю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before="709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8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                       Евгения Анатольевна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64" w:type="dxa"/>
            <w:tcBorders/>
          </w:tcPr>
          <w:p>
            <w:pPr>
              <w:pStyle w:val="Style28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Style28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Территориального органа Федеральной службы государственной статистики по Камчатскому краю                                        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Style28"/>
              <w:widowControl w:val="false"/>
              <w:spacing w:lineRule="atLeast" w:line="0" w:before="709" w:after="0"/>
              <w:rPr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Сыроватко                                                          Игорь Александрович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lineRule="auto" w:line="276"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Autospacing="1" w:after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представитель регионального объединения работодателей «Камчатское объединение работодателей социальных учреждений», директор КГАУ «Елизовский дом-интернат психоневрологического типа»</w:t>
            </w:r>
            <w:bookmarkStart w:id="4" w:name="_GoBack_Copy_3"/>
            <w:bookmarkEnd w:id="4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>
        <w:trPr/>
        <w:tc>
          <w:tcPr>
            <w:tcW w:w="3229" w:type="dxa"/>
            <w:tcBorders/>
          </w:tcPr>
          <w:p>
            <w:pPr>
              <w:pStyle w:val="NormalIndent"/>
              <w:widowControl w:val="false"/>
              <w:tabs>
                <w:tab w:val="clear" w:pos="708"/>
                <w:tab w:val="left" w:pos="709" w:leader="none"/>
                <w:tab w:val="center" w:pos="4961" w:leader="none"/>
              </w:tabs>
              <w:spacing w:lineRule="auto" w:line="240" w:before="709" w:after="0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Шалфицкий                                   Андрей Георгиевич </w:t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964" w:type="dxa"/>
            <w:tcBorders/>
          </w:tcPr>
          <w:p>
            <w:pPr>
              <w:pStyle w:val="Style28"/>
              <w:widowControl w:val="false"/>
              <w:spacing w:before="709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заместитель управляющего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Отделением Фонда пенсионного и социального страхования Российской Федерации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Камчатскому краю                 (по согласованию).</w:t>
            </w:r>
            <w:bookmarkStart w:id="5" w:name="_GoBack"/>
            <w:bookmarkEnd w:id="5"/>
          </w:p>
        </w:tc>
      </w:tr>
    </w:tbl>
    <w:p>
      <w:pPr>
        <w:pStyle w:val="Normal"/>
        <w:jc w:val="center"/>
        <w:rPr>
          <w:rFonts w:eastAsia="Calibri"/>
          <w:szCs w:val="28"/>
        </w:rPr>
      </w:pPr>
      <w:r>
        <w:rPr/>
      </w:r>
    </w:p>
    <w:sectPr>
      <w:headerReference w:type="default" r:id="rId9"/>
      <w:headerReference w:type="first" r:id="rId10"/>
      <w:footerReference w:type="default" r:id="rId11"/>
      <w:type w:val="nextPage"/>
      <w:pgSz w:w="11906" w:h="16838"/>
      <w:pgMar w:left="1417" w:right="850" w:gutter="0" w:header="1134" w:top="1871" w:footer="1134" w:bottom="1701"/>
      <w:pgNumType w:start="2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0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7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2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7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5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7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2</w:t>
    </w:r>
    <w:r>
      <w:rPr>
        <w:sz w:val="28"/>
        <w:szCs w:val="28"/>
        <w:rFonts w:cs="Times New Roman"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4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7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2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7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709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9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Знак"/>
    <w:basedOn w:val="DefaultParagraphFont"/>
    <w:uiPriority w:val="99"/>
    <w:semiHidden/>
    <w:qFormat/>
    <w:rPr>
      <w:rFonts w:ascii="Calibri" w:hAnsi="Calibri" w:eastAsia="Calibri" w:cs="Times New Roman"/>
      <w:szCs w:val="21"/>
    </w:rPr>
  </w:style>
  <w:style w:type="character" w:styleId="Style11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basedOn w:val="DefaultParagraphFont"/>
    <w:uiPriority w:val="99"/>
    <w:qFormat/>
    <w:rPr/>
  </w:style>
  <w:style w:type="character" w:styleId="11" w:customStyle="1">
    <w:name w:val="Гиперссылка1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4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PlainText">
    <w:name w:val="Plain Text"/>
    <w:basedOn w:val="Normal"/>
    <w:uiPriority w:val="99"/>
    <w:semiHidden/>
    <w:unhideWhenUsed/>
    <w:qFormat/>
    <w:pPr>
      <w:spacing w:before="0" w:after="0"/>
    </w:pPr>
    <w:rPr>
      <w:rFonts w:ascii="Calibri" w:hAnsi="Calibri" w:eastAsia="Calibri" w:cs="Times New Roman"/>
      <w:szCs w:val="21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Style27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NormalIndent">
    <w:name w:val="Normal Indent"/>
    <w:basedOn w:val="Normal"/>
    <w:qFormat/>
    <w:pPr>
      <w:spacing w:lineRule="auto" w:line="360"/>
      <w:ind w:firstLine="62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er" Target="footer1.xml"/><Relationship Id="rId9" Type="http://schemas.openxmlformats.org/officeDocument/2006/relationships/header" Target="header6.xml"/><Relationship Id="rId10" Type="http://schemas.openxmlformats.org/officeDocument/2006/relationships/header" Target="header7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10</Pages>
  <Words>1351</Words>
  <Characters>10054</Characters>
  <CharactersWithSpaces>12346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2023-03-13T23:44:00Z</dcterms:created>
  <dc:creator>Киселев Виктор Вадимович</dc:creator>
  <dc:description/>
  <dc:language>ru-RU</dc:language>
  <cp:lastModifiedBy>Тихонов Александр Михайлович</cp:lastModifiedBy>
  <dcterms:modified xsi:type="dcterms:W3CDTF">2023-06-02T03:21:11Z</dcterms:modified>
  <cp:revision>46</cp:revision>
  <dc:subject/>
  <dc:title/>
</cp:coreProperties>
</file>