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4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5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6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 О С Т А Н О В Л Е Н И Е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ПРАВИТЕЛЬСТВА</w:t>
      </w:r>
    </w:p>
    <w:p w14:paraId="0A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B000000">
      <w:pPr>
        <w:spacing w:after="0" w:line="276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0C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Borders>
              <w:top w:sz="4" w:val="nil"/>
              <w:left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D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Borders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F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1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3"/>
        <w:tblInd w:type="dxa" w:w="-142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</w:tblPr>
      <w:tblGrid>
        <w:gridCol w:w="9640"/>
      </w:tblGrid>
      <w:tr>
        <w:trPr>
          <w:trHeight w:hRule="atLeast" w:val="1737"/>
        </w:trPr>
        <w:tc>
          <w:tcPr>
            <w:tcW w:type="dxa" w:w="964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1000000">
            <w:pPr>
              <w:ind w:firstLine="0" w:left="3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О внесении изменения в</w:t>
            </w:r>
            <w:r>
              <w:rPr>
                <w:rFonts w:ascii="Times New Roman" w:hAnsi="Times New Roman"/>
                <w:b w:val="1"/>
                <w:sz w:val="28"/>
              </w:rPr>
              <w:t xml:space="preserve"> приложение к </w:t>
            </w:r>
            <w:r>
              <w:rPr>
                <w:rFonts w:ascii="Times New Roman" w:hAnsi="Times New Roman"/>
                <w:b w:val="1"/>
                <w:sz w:val="28"/>
              </w:rPr>
              <w:t>постановлению Правительства Камчатского края от 11.11.2008 № 354-П</w:t>
            </w:r>
            <w:r>
              <w:rPr>
                <w:rFonts w:ascii="Times New Roman" w:hAnsi="Times New Roman"/>
                <w:b w:val="1"/>
                <w:sz w:val="28"/>
              </w:rPr>
              <w:t xml:space="preserve"> «</w:t>
            </w:r>
            <w:r>
              <w:rPr>
                <w:rFonts w:ascii="Times New Roman" w:hAnsi="Times New Roman"/>
                <w:b w:val="1"/>
                <w:sz w:val="28"/>
              </w:rPr>
              <w:t>Об утверждении Примерного положения о системе оплаты труда работников краевых государственных учреждений, подведомственных Министерству труда и развития кадрового потенциала Камчатского края</w:t>
            </w:r>
            <w:r>
              <w:rPr>
                <w:rFonts w:ascii="Times New Roman" w:hAnsi="Times New Roman"/>
                <w:b w:val="1"/>
                <w:sz w:val="28"/>
              </w:rPr>
              <w:t>»</w:t>
            </w:r>
            <w:r>
              <w:rPr>
                <w:rFonts w:ascii="Times New Roman" w:hAnsi="Times New Roman"/>
                <w:b w:val="1"/>
                <w:sz w:val="28"/>
              </w:rPr>
              <w:t xml:space="preserve"> </w:t>
            </w:r>
          </w:p>
        </w:tc>
      </w:tr>
    </w:tbl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14:paraId="1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6000000">
      <w:pPr>
        <w:tabs>
          <w:tab w:leader="none" w:pos="0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Внести в </w:t>
      </w:r>
      <w:r>
        <w:rPr>
          <w:rFonts w:ascii="Times New Roman" w:hAnsi="Times New Roman"/>
          <w:b w:val="0"/>
          <w:sz w:val="28"/>
        </w:rPr>
        <w:t xml:space="preserve">приложение к </w:t>
      </w:r>
      <w:r>
        <w:rPr>
          <w:rFonts w:ascii="Times New Roman" w:hAnsi="Times New Roman"/>
          <w:b w:val="0"/>
          <w:sz w:val="28"/>
        </w:rPr>
        <w:t>постановлению</w:t>
      </w:r>
      <w:r>
        <w:rPr>
          <w:rFonts w:ascii="Times New Roman" w:hAnsi="Times New Roman"/>
          <w:b w:val="0"/>
          <w:sz w:val="28"/>
        </w:rPr>
        <w:t xml:space="preserve"> Правительства Камчатского края о</w:t>
      </w:r>
      <w:r>
        <w:rPr>
          <w:rFonts w:ascii="Times New Roman" w:hAnsi="Times New Roman"/>
          <w:b w:val="0"/>
          <w:sz w:val="28"/>
        </w:rPr>
        <w:t>т 11.11.2008 № 354-П</w:t>
      </w:r>
      <w:r>
        <w:rPr>
          <w:rFonts w:ascii="Times New Roman" w:hAnsi="Times New Roman"/>
          <w:b w:val="0"/>
          <w:sz w:val="28"/>
        </w:rPr>
        <w:t xml:space="preserve"> «</w:t>
      </w:r>
      <w:r>
        <w:rPr>
          <w:rFonts w:ascii="Times New Roman" w:hAnsi="Times New Roman"/>
          <w:b w:val="0"/>
          <w:sz w:val="28"/>
        </w:rPr>
        <w:t>Об утверждении Примерного положения о системе оплаты труда работников краевых государственных учреждений, подведомственных Министерству труда и развития кадрового потенциала Камчатского края</w:t>
      </w:r>
      <w:r>
        <w:rPr>
          <w:rFonts w:ascii="Times New Roman" w:hAnsi="Times New Roman"/>
          <w:b w:val="0"/>
          <w:sz w:val="28"/>
        </w:rPr>
        <w:t>»</w:t>
      </w:r>
      <w:r>
        <w:rPr>
          <w:rFonts w:ascii="Times New Roman" w:hAnsi="Times New Roman"/>
          <w:sz w:val="28"/>
        </w:rPr>
        <w:t>,</w:t>
      </w:r>
      <w:bookmarkStart w:id="2" w:name="_GoBack"/>
      <w:bookmarkEnd w:id="2"/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изменение</w:t>
      </w:r>
      <w:r>
        <w:rPr>
          <w:rFonts w:ascii="Times New Roman" w:hAnsi="Times New Roman"/>
          <w:sz w:val="28"/>
        </w:rPr>
        <w:t xml:space="preserve">, изложив его в редакции, согласно приложению </w:t>
      </w:r>
      <w:r>
        <w:rPr>
          <w:rFonts w:ascii="Times New Roman" w:hAnsi="Times New Roman"/>
          <w:b w:val="0"/>
          <w:sz w:val="28"/>
        </w:rPr>
        <w:t>к настоящему постановлению.</w:t>
      </w:r>
    </w:p>
    <w:p w14:paraId="17000000">
      <w:pPr>
        <w:tabs>
          <w:tab w:leader="none" w:pos="0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Настоящее постановление вступает в силу после дня</w:t>
      </w:r>
      <w:r>
        <w:rPr>
          <w:rFonts w:ascii="Times New Roman" w:hAnsi="Times New Roman"/>
          <w:sz w:val="28"/>
        </w:rPr>
        <w:t xml:space="preserve"> его официального опубликования, но не ранее 1 января 2024 года.</w:t>
      </w:r>
    </w:p>
    <w:p w14:paraId="18000000">
      <w:pPr>
        <w:tabs>
          <w:tab w:leader="none" w:pos="0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9000000">
      <w:pPr>
        <w:tabs>
          <w:tab w:leader="none" w:pos="0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Ind w:type="dxa" w:w="-34"/>
        <w:tblLayout w:type="fixed"/>
        <w:tblCellMar>
          <w:left w:type="dxa" w:w="0"/>
          <w:right w:type="dxa" w:w="0"/>
        </w:tblCellMar>
      </w:tblPr>
      <w:tblGrid>
        <w:gridCol w:w="3571"/>
        <w:gridCol w:w="3537"/>
        <w:gridCol w:w="2566"/>
      </w:tblGrid>
      <w:tr>
        <w:trPr>
          <w:trHeight w:hRule="atLeast" w:val="1977"/>
        </w:trPr>
        <w:tc>
          <w:tcPr>
            <w:tcW w:type="dxa" w:w="3571"/>
            <w:shd w:fill="auto" w:val="clear"/>
            <w:tcMar>
              <w:left w:type="dxa" w:w="0"/>
              <w:right w:type="dxa" w:w="0"/>
            </w:tcMar>
          </w:tcPr>
          <w:p w14:paraId="1A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14:paraId="1B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37"/>
            <w:shd w:fill="auto" w:val="clear"/>
            <w:tcMar>
              <w:left w:type="dxa" w:w="0"/>
              <w:right w:type="dxa" w:w="0"/>
            </w:tcMar>
          </w:tcPr>
          <w:p w14:paraId="1C000000">
            <w:pPr>
              <w:spacing w:after="0" w:line="240" w:lineRule="auto"/>
              <w:ind w:hanging="3" w:left="3"/>
              <w:rPr>
                <w:rFonts w:ascii="Times New Roman" w:hAnsi="Times New Roman"/>
                <w:color w:val="FFFFFF"/>
                <w:sz w:val="24"/>
              </w:rPr>
            </w:pPr>
            <w:bookmarkStart w:id="3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3"/>
          </w:p>
          <w:p w14:paraId="1D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66"/>
            <w:shd w:fill="auto" w:val="clear"/>
            <w:tcMar>
              <w:left w:type="dxa" w:w="0"/>
              <w:right w:type="dxa" w:w="0"/>
            </w:tcMar>
          </w:tcPr>
          <w:p w14:paraId="1E000000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14:paraId="1F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14:paraId="20000000"/>
    <w:p w14:paraId="21000000"/>
    <w:p w14:paraId="22000000"/>
    <w:tbl>
      <w:tblPr>
        <w:tblStyle w:val="Style_2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480"/>
        <w:gridCol w:w="480"/>
        <w:gridCol w:w="480"/>
        <w:gridCol w:w="3661"/>
        <w:gridCol w:w="480"/>
        <w:gridCol w:w="1869"/>
        <w:gridCol w:w="486"/>
        <w:gridCol w:w="1701"/>
      </w:tblGrid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6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00000">
            <w:pPr>
              <w:widowControl w:val="0"/>
              <w:spacing w:after="0" w:line="240" w:lineRule="auto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</w:rPr>
              <w:t>к постановлению</w:t>
            </w:r>
          </w:p>
        </w:tc>
      </w:tr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6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00000">
            <w:pPr>
              <w:widowControl w:val="0"/>
              <w:spacing w:after="0" w:line="240" w:lineRule="auto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</w:tc>
      </w:tr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00000">
            <w:pPr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00000">
            <w:pPr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00000">
            <w:pPr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00000">
            <w:pPr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00000">
            <w:pPr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type="dxa" w:w="186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00000">
            <w:pPr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EGDATESTAMP]</w:t>
            </w:r>
          </w:p>
        </w:tc>
        <w:tc>
          <w:tcPr>
            <w:tcW w:type="dxa" w:w="486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00000">
            <w:pPr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00000">
            <w:pPr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EGNUMSTAMP]</w:t>
            </w:r>
          </w:p>
        </w:tc>
      </w:tr>
    </w:tbl>
    <w:p w14:paraId="35000000"/>
    <w:tbl>
      <w:tblPr>
        <w:tblStyle w:val="Style_2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480"/>
        <w:gridCol w:w="480"/>
        <w:gridCol w:w="480"/>
        <w:gridCol w:w="3661"/>
        <w:gridCol w:w="480"/>
        <w:gridCol w:w="1869"/>
        <w:gridCol w:w="486"/>
        <w:gridCol w:w="1701"/>
      </w:tblGrid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00000">
            <w:pPr>
              <w:widowControl w:val="0"/>
              <w:spacing w:after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00000">
            <w:pPr>
              <w:widowControl w:val="0"/>
              <w:spacing w:after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00000">
            <w:pPr>
              <w:widowControl w:val="0"/>
              <w:spacing w:after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00000">
            <w:pPr>
              <w:widowControl w:val="0"/>
              <w:spacing w:after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6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00000">
            <w:pPr>
              <w:widowControl w:val="0"/>
              <w:spacing w:after="0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«Приложение </w:t>
            </w:r>
            <w:r>
              <w:rPr>
                <w:rFonts w:ascii="Times New Roman" w:hAnsi="Times New Roman"/>
                <w:sz w:val="28"/>
              </w:rPr>
              <w:t>к постановлению</w:t>
            </w:r>
          </w:p>
        </w:tc>
      </w:tr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00000">
            <w:pPr>
              <w:widowControl w:val="0"/>
              <w:spacing w:after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00000">
            <w:pPr>
              <w:widowControl w:val="0"/>
              <w:spacing w:after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00000">
            <w:pPr>
              <w:widowControl w:val="0"/>
              <w:spacing w:after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00000">
            <w:pPr>
              <w:widowControl w:val="0"/>
              <w:spacing w:after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6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00000">
            <w:pPr>
              <w:widowControl w:val="0"/>
              <w:spacing w:after="0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</w:tc>
      </w:tr>
      <w:tr>
        <w:trPr>
          <w:trHeight w:hRule="atLeast" w:val="288"/>
        </w:trP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00000">
            <w:pPr>
              <w:spacing w:after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00000">
            <w:pPr>
              <w:spacing w:after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00000">
            <w:pPr>
              <w:spacing w:after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00000">
            <w:pPr>
              <w:spacing w:after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type="dxa" w:w="186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00000">
            <w:pPr>
              <w:spacing w:after="0"/>
              <w:ind w:hanging="8079" w:left="8079"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11.11.2008</w:t>
            </w:r>
            <w:r>
              <w:rPr>
                <w:rFonts w:ascii="Times New Roman" w:hAnsi="Times New Roman"/>
                <w:color w:themeColor="background1" w:val="FFFFFF"/>
                <w:sz w:val="28"/>
              </w:rPr>
              <w:t>1</w:t>
            </w:r>
          </w:p>
        </w:tc>
        <w:tc>
          <w:tcPr>
            <w:tcW w:type="dxa" w:w="486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00000">
            <w:pPr>
              <w:spacing w:after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354-П</w:t>
            </w:r>
          </w:p>
        </w:tc>
      </w:tr>
    </w:tbl>
    <w:p w14:paraId="48000000">
      <w:pPr>
        <w:spacing w:after="120" w:before="120"/>
        <w:ind w:firstLine="420" w:left="120" w:right="120"/>
        <w:jc w:val="both"/>
        <w:rPr>
          <w:rFonts w:ascii="Times New Roman" w:hAnsi="Times New Roman"/>
          <w:b w:val="0"/>
          <w:sz w:val="24"/>
        </w:rPr>
      </w:pPr>
    </w:p>
    <w:p w14:paraId="49000000">
      <w:pPr>
        <w:spacing w:after="0" w:before="0"/>
        <w:ind w:firstLine="0" w:left="0" w:right="0"/>
        <w:jc w:val="center"/>
        <w:rPr>
          <w:rFonts w:ascii="Times New Roman" w:hAnsi="Times New Roman"/>
          <w:b w:val="0"/>
          <w:spacing w:val="0"/>
          <w:sz w:val="28"/>
        </w:rPr>
      </w:pPr>
      <w:r>
        <w:rPr>
          <w:rFonts w:ascii="Times New Roman" w:hAnsi="Times New Roman"/>
          <w:b w:val="0"/>
          <w:spacing w:val="0"/>
          <w:sz w:val="28"/>
        </w:rPr>
        <w:t>П</w:t>
      </w:r>
      <w:r>
        <w:rPr>
          <w:rFonts w:ascii="Times New Roman" w:hAnsi="Times New Roman"/>
          <w:b w:val="0"/>
          <w:spacing w:val="0"/>
          <w:sz w:val="28"/>
        </w:rPr>
        <w:t xml:space="preserve">римерное положение </w:t>
      </w:r>
      <w:r>
        <w:rPr>
          <w:rFonts w:ascii="Times New Roman" w:hAnsi="Times New Roman"/>
          <w:b w:val="0"/>
          <w:spacing w:val="0"/>
          <w:sz w:val="28"/>
        </w:rPr>
        <w:t xml:space="preserve">о системе оплаты труда работников краевых государственных </w:t>
      </w:r>
      <w:r>
        <w:rPr>
          <w:rFonts w:ascii="Times New Roman" w:hAnsi="Times New Roman"/>
          <w:b w:val="0"/>
          <w:spacing w:val="0"/>
          <w:sz w:val="28"/>
        </w:rPr>
        <w:t xml:space="preserve">учреждений, подведомственных  Министерству труда и развития </w:t>
      </w:r>
      <w:r>
        <w:rPr>
          <w:rFonts w:ascii="Times New Roman" w:hAnsi="Times New Roman"/>
          <w:b w:val="0"/>
          <w:spacing w:val="0"/>
          <w:sz w:val="28"/>
        </w:rPr>
        <w:t>кадрового потенциала Камчатского края</w:t>
      </w:r>
    </w:p>
    <w:p w14:paraId="4A000000">
      <w:pPr>
        <w:spacing w:after="120" w:before="120"/>
        <w:ind w:firstLine="420" w:left="120" w:right="12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 </w:t>
      </w:r>
    </w:p>
    <w:p w14:paraId="4B000000">
      <w:pPr>
        <w:spacing w:after="0" w:before="0"/>
        <w:ind w:firstLine="709" w:left="0" w:righ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1. Общие положения</w:t>
      </w:r>
    </w:p>
    <w:p w14:paraId="4C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</w:rPr>
      </w:pPr>
    </w:p>
    <w:p w14:paraId="4D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 </w:t>
      </w:r>
      <w:r>
        <w:rPr>
          <w:rFonts w:ascii="Times New Roman" w:hAnsi="Times New Roman"/>
          <w:b w:val="0"/>
          <w:color w:val="000000"/>
          <w:sz w:val="28"/>
        </w:rPr>
        <w:t>1. Настоящее Положение разработано в соответствии с п</w:t>
      </w:r>
      <w:r>
        <w:rPr>
          <w:rFonts w:ascii="Times New Roman" w:hAnsi="Times New Roman"/>
          <w:b w:val="0"/>
          <w:strike w:val="0"/>
          <w:color w:val="000000"/>
          <w:sz w:val="28"/>
        </w:rPr>
        <w:t>остановлением</w:t>
      </w:r>
      <w:r>
        <w:rPr>
          <w:rFonts w:ascii="Times New Roman" w:hAnsi="Times New Roman"/>
          <w:b w:val="0"/>
          <w:color w:val="000000"/>
          <w:sz w:val="28"/>
        </w:rPr>
        <w:t xml:space="preserve"> Правительства Камчатского края от 21.07.2008 № 221-П «О подготовке к введению отраслевых систем оплаты труда работников государственных учреждений Камчатского края» и включает в себя:</w:t>
      </w:r>
    </w:p>
    <w:p w14:paraId="4E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1) рекомендуемые размеры окладов (должностных окладов), ставок заработной платы (далее - оклады) по профессиональным квалификационным группам (далее - ПКГ);</w:t>
      </w:r>
    </w:p>
    <w:p w14:paraId="4F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2) наименование, условия осуществления и размеры выплат компенсационного характера в соответствии с перечнем видов выплат компенсационного характера, утвержденных настоящим Положением</w:t>
      </w:r>
      <w:r>
        <w:rPr>
          <w:rFonts w:ascii="Times New Roman" w:hAnsi="Times New Roman"/>
          <w:b w:val="0"/>
          <w:color w:val="000000"/>
          <w:sz w:val="28"/>
        </w:rPr>
        <w:t>;</w:t>
      </w:r>
    </w:p>
    <w:p w14:paraId="50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3) условия оплаты труда директоров краевых государственных учреждений, подведомственных Министерству труда и развития кадрового потенциала Камчатского края (далее - учреждения), заместителей руководителей учреждений и главных бухгалтеров.</w:t>
      </w:r>
    </w:p>
    <w:p w14:paraId="51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2. При утверждении Правительством Российской Федерации базовых окладов (базовых должностных окладов), базовых ставок заработной платы по профессиональным квалификационным группам, оклады работников, занимающих должности служащих (работающих по профессиям рабочих), входящих в эти ПКГ, устанавливаются в размере не ниже соответствующих базовых окладов (базовых должностных окладов), базовых ставок заработной платы.</w:t>
      </w:r>
    </w:p>
    <w:p w14:paraId="52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3. Утверждение новых условий оплаты труда работников учреждений осуществляется с учетом мнения представительного органа работников.</w:t>
      </w:r>
    </w:p>
    <w:p w14:paraId="53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4. Оплата труда работников, занятых по совместительству, а также на условиях неполного рабочего времени, или неполной рабочей недели, производится пропорционально отработанному времени. 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</w:t>
      </w:r>
    </w:p>
    <w:p w14:paraId="54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5. Заработная плата работника предельными размерами не ограничивается, включат в себя в соответствии со статьей 129 Трудового кодекса Российской Федерации </w:t>
      </w:r>
      <w:r>
        <w:rPr>
          <w:rFonts w:ascii="Times New Roman" w:hAnsi="Times New Roman"/>
          <w:b w:val="0"/>
          <w:sz w:val="28"/>
        </w:rPr>
        <w:t>вознаграждение за труд в зависимости от квалификации работника, сложности, количества, качества и условий выполняемой работы, а также компенсационные выплаты (доплаты и надбавки компенсационного характера, в том числе за работу в условиях, отклоняющихся от нормальных, работу в особых климатических условиях и на территориях, подвергшихся радиоактивному загрязнению, и иные выплаты компенсационного характера) и стимулирующие выплаты (доплаты и надбавки стимулирующего характера, премии и иные поощрительные выплаты).</w:t>
      </w:r>
    </w:p>
    <w:p w14:paraId="55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Вознаграждение за труд должно составлять не менее 70 процентов </w:t>
      </w:r>
      <w:r>
        <w:rPr>
          <w:rFonts w:ascii="Times New Roman" w:hAnsi="Times New Roman"/>
          <w:b w:val="0"/>
          <w:color w:val="000000"/>
          <w:sz w:val="28"/>
        </w:rPr>
        <w:t xml:space="preserve">в структуре начисленной месячной заработной платы </w:t>
      </w:r>
      <w:r>
        <w:rPr>
          <w:rFonts w:ascii="Times New Roman" w:hAnsi="Times New Roman"/>
          <w:b w:val="0"/>
          <w:color w:val="000000"/>
          <w:sz w:val="28"/>
        </w:rPr>
        <w:t>работников учреждений.</w:t>
      </w:r>
    </w:p>
    <w:p w14:paraId="56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Стимулирующие выплаты не могут превышать 30 процентов </w:t>
      </w:r>
      <w:r>
        <w:rPr>
          <w:rFonts w:ascii="Times New Roman" w:hAnsi="Times New Roman"/>
          <w:b w:val="0"/>
          <w:color w:val="000000"/>
          <w:sz w:val="28"/>
        </w:rPr>
        <w:t xml:space="preserve">в структуре </w:t>
      </w:r>
      <w:r>
        <w:rPr>
          <w:rFonts w:ascii="Times New Roman" w:hAnsi="Times New Roman"/>
          <w:b w:val="0"/>
          <w:color w:val="000000"/>
          <w:sz w:val="28"/>
        </w:rPr>
        <w:t xml:space="preserve">начисленной месячной заработной платы </w:t>
      </w:r>
      <w:r>
        <w:rPr>
          <w:rFonts w:ascii="Times New Roman" w:hAnsi="Times New Roman"/>
          <w:b w:val="0"/>
          <w:color w:val="000000"/>
          <w:sz w:val="28"/>
        </w:rPr>
        <w:t>работников учреждений.</w:t>
      </w:r>
    </w:p>
    <w:p w14:paraId="57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sz w:val="28"/>
        </w:rPr>
        <w:t>К начисленной месячной заработной плате</w:t>
      </w:r>
      <w:r>
        <w:rPr>
          <w:rFonts w:ascii="Times New Roman" w:hAnsi="Times New Roman"/>
          <w:sz w:val="28"/>
        </w:rPr>
        <w:t xml:space="preserve"> применяются районные коэффициенты и процентные надбавки к заработной плате, установленные в </w:t>
      </w:r>
      <w:r>
        <w:rPr>
          <w:rFonts w:ascii="Times New Roman" w:hAnsi="Times New Roman"/>
          <w:sz w:val="28"/>
        </w:rPr>
        <w:t>соответствии со ст</w:t>
      </w:r>
      <w:r>
        <w:rPr>
          <w:rFonts w:ascii="Times New Roman" w:hAnsi="Times New Roman"/>
          <w:sz w:val="28"/>
        </w:rPr>
        <w:t>атьями</w:t>
      </w:r>
      <w:r>
        <w:rPr>
          <w:rFonts w:ascii="Times New Roman" w:hAnsi="Times New Roman"/>
          <w:sz w:val="28"/>
        </w:rPr>
        <w:t xml:space="preserve"> 315, 316</w:t>
      </w:r>
      <w:r>
        <w:rPr>
          <w:rFonts w:ascii="Times New Roman" w:hAnsi="Times New Roman"/>
          <w:sz w:val="28"/>
        </w:rPr>
        <w:t>, 317 Трудового кодекса Российской Федерации, иными нормативными правовыми актами Российской Федерации и Камчатского края</w:t>
      </w:r>
      <w:r>
        <w:rPr>
          <w:rFonts w:ascii="Times New Roman" w:hAnsi="Times New Roman"/>
          <w:b w:val="0"/>
          <w:color w:val="000000"/>
          <w:sz w:val="28"/>
        </w:rPr>
        <w:t>, а также иные выплаты  компенсационного характера.</w:t>
      </w:r>
    </w:p>
    <w:p w14:paraId="58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6. Предельная доля расходов оплаты труда работников административно-управленческого и прочего персонала в фонде оплаты труда учреждений устанавливается в размере не более </w:t>
      </w:r>
      <w:r>
        <w:rPr>
          <w:rFonts w:ascii="Times New Roman" w:hAnsi="Times New Roman"/>
          <w:b w:val="0"/>
          <w:color w:val="000000"/>
          <w:sz w:val="28"/>
        </w:rPr>
        <w:t>40</w:t>
      </w:r>
      <w:r>
        <w:rPr>
          <w:rFonts w:ascii="Times New Roman" w:hAnsi="Times New Roman"/>
          <w:b w:val="0"/>
          <w:color w:val="000000"/>
          <w:sz w:val="28"/>
        </w:rPr>
        <w:t xml:space="preserve"> процентов.</w:t>
      </w:r>
    </w:p>
    <w:p w14:paraId="59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Перечень должностей, относимых к административно-управленческому персоналу учреждений устанавливается приказом Министерства труда и развития кадрового потенциала Камчатского края (далее - Министерство).</w:t>
      </w:r>
    </w:p>
    <w:p w14:paraId="5A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 </w:t>
      </w:r>
    </w:p>
    <w:p w14:paraId="5B000000">
      <w:pPr>
        <w:spacing w:after="0" w:before="0"/>
        <w:ind w:firstLine="0" w:left="0" w:righ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2. Порядок и условия оплаты </w:t>
      </w:r>
      <w:r>
        <w:rPr>
          <w:rFonts w:ascii="Times New Roman" w:hAnsi="Times New Roman"/>
          <w:b w:val="0"/>
          <w:sz w:val="28"/>
        </w:rPr>
        <w:t>труда работников учреждений</w:t>
      </w:r>
    </w:p>
    <w:p w14:paraId="5C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 </w:t>
      </w:r>
    </w:p>
    <w:p w14:paraId="5D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7. Рекомендуемые размеры основных окладов (основных должностных окладов) работников учреждений устанавливаются на основе отнесения занимаемых ими должностей ПКГ по должностям служащих, утвержденным </w:t>
      </w:r>
      <w:r>
        <w:rPr>
          <w:rFonts w:ascii="Times New Roman" w:hAnsi="Times New Roman"/>
          <w:b w:val="0"/>
          <w:color w:val="000000"/>
          <w:sz w:val="28"/>
        </w:rPr>
        <w:t>п</w:t>
      </w:r>
      <w:r>
        <w:rPr>
          <w:rFonts w:ascii="Times New Roman" w:hAnsi="Times New Roman"/>
          <w:b w:val="0"/>
          <w:strike w:val="0"/>
          <w:color w:val="000000"/>
          <w:sz w:val="28"/>
        </w:rPr>
        <w:t>риказом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Министерства здравоохранения и социального развития Российской Федерации от 29.05.2008 № 247н «Об утверждении профессиональных квалификационных групп общеотраслевых должностей руководителей, специалистов и служащих»:</w:t>
      </w:r>
    </w:p>
    <w:p w14:paraId="5E000000">
      <w:pPr>
        <w:spacing w:after="120" w:before="120"/>
        <w:ind w:firstLine="420" w:left="120" w:right="12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 </w:t>
      </w: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</w:tblBorders>
        <w:tblLayout w:type="fixed"/>
      </w:tblPr>
      <w:tblGrid>
        <w:gridCol w:w="854"/>
        <w:gridCol w:w="5160"/>
        <w:gridCol w:w="3626"/>
      </w:tblGrid>
      <w:tr>
        <w:tc>
          <w:tcPr>
            <w:tcW w:type="dxa" w:w="85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F000000">
            <w:pPr>
              <w:spacing w:after="105" w:before="105"/>
              <w:ind w:firstLine="0" w:left="60" w:right="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type="dxa" w:w="51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0000000">
            <w:pPr>
              <w:spacing w:after="105" w:before="105"/>
              <w:ind w:firstLine="0" w:left="60" w:right="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Профессиональная квалификационная группа</w:t>
            </w:r>
          </w:p>
        </w:tc>
        <w:tc>
          <w:tcPr>
            <w:tcW w:type="dxa" w:w="36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1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Рекомендуемые размеры основных окладов (основных должностных окладов),</w:t>
            </w:r>
          </w:p>
          <w:p w14:paraId="62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рублей</w:t>
            </w:r>
          </w:p>
        </w:tc>
      </w:tr>
      <w:tr>
        <w:tc>
          <w:tcPr>
            <w:tcW w:type="dxa" w:w="85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3000000">
            <w:pPr>
              <w:spacing w:after="105" w:before="105"/>
              <w:ind w:firstLine="0" w:left="60" w:right="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51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4000000">
            <w:pPr>
              <w:spacing w:after="105" w:before="105"/>
              <w:ind w:firstLine="0" w:left="60" w:right="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36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5000000">
            <w:pPr>
              <w:spacing w:after="105" w:before="105"/>
              <w:ind w:firstLine="0" w:left="60" w:right="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>
        <w:tc>
          <w:tcPr>
            <w:tcW w:type="dxa" w:w="85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6000000">
            <w:pPr>
              <w:spacing w:after="105" w:before="105"/>
              <w:ind w:firstLine="0" w:left="60" w:right="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51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7000000">
            <w:pPr>
              <w:spacing w:after="105" w:before="105"/>
              <w:ind w:firstLine="0" w:left="60" w:right="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Должности, отнесенные к ПКГ «Общеотраслевые должности служащих второго уровня»</w:t>
            </w:r>
          </w:p>
        </w:tc>
        <w:tc>
          <w:tcPr>
            <w:tcW w:type="dxa" w:w="36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800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17850</w:t>
            </w:r>
          </w:p>
        </w:tc>
      </w:tr>
      <w:tr>
        <w:tc>
          <w:tcPr>
            <w:tcW w:type="dxa" w:w="85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9000000">
            <w:pPr>
              <w:spacing w:after="105" w:before="105"/>
              <w:ind w:firstLine="0" w:left="60" w:right="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type="dxa" w:w="51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A000000">
            <w:pPr>
              <w:spacing w:after="105" w:before="105"/>
              <w:ind w:firstLine="0" w:left="60" w:right="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Должности, отнесенные к ПКГ «Общеотраслевые должности служащих третьего уровня»</w:t>
            </w:r>
          </w:p>
        </w:tc>
        <w:tc>
          <w:tcPr>
            <w:tcW w:type="dxa" w:w="36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B00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22638-26670</w:t>
            </w:r>
          </w:p>
        </w:tc>
      </w:tr>
      <w:tr>
        <w:tc>
          <w:tcPr>
            <w:tcW w:type="dxa" w:w="85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C000000">
            <w:pPr>
              <w:spacing w:after="105" w:before="105"/>
              <w:ind w:firstLine="0" w:left="60" w:right="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type="dxa" w:w="51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D000000">
            <w:pPr>
              <w:spacing w:after="105" w:before="105"/>
              <w:ind w:firstLine="0" w:left="60" w:right="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Должности, отнесенные к ПКГ «Общеотраслевые должности служащих четвертого уровня»</w:t>
            </w:r>
          </w:p>
        </w:tc>
        <w:tc>
          <w:tcPr>
            <w:tcW w:type="dxa" w:w="36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E000000">
            <w:pPr>
              <w:spacing w:after="105" w:before="105"/>
              <w:ind w:firstLine="0" w:left="60" w:right="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28560</w:t>
            </w:r>
          </w:p>
        </w:tc>
      </w:tr>
    </w:tbl>
    <w:p w14:paraId="6F000000">
      <w:pPr>
        <w:spacing w:after="120" w:before="120"/>
        <w:ind w:firstLine="420" w:left="120" w:right="12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 </w:t>
      </w:r>
    </w:p>
    <w:p w14:paraId="70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8. Рекомендуемые размеры основных окладов (основных должностных окладов работников учреждений устанавливаются на основе отнесения занимаемых ими должностей и ПКГ профессий рабочих, утвержденным </w:t>
      </w:r>
      <w:r>
        <w:rPr>
          <w:rFonts w:ascii="Times New Roman" w:hAnsi="Times New Roman"/>
          <w:b w:val="0"/>
          <w:color w:val="000000"/>
          <w:sz w:val="28"/>
        </w:rPr>
        <w:t>п</w:t>
      </w:r>
      <w:r>
        <w:rPr>
          <w:rFonts w:ascii="Times New Roman" w:hAnsi="Times New Roman"/>
          <w:b w:val="0"/>
          <w:strike w:val="0"/>
          <w:color w:val="000000"/>
          <w:sz w:val="28"/>
        </w:rPr>
        <w:t>риказом</w:t>
      </w:r>
      <w:r>
        <w:rPr>
          <w:rFonts w:ascii="Times New Roman" w:hAnsi="Times New Roman"/>
          <w:b w:val="0"/>
          <w:color w:val="000000"/>
          <w:sz w:val="28"/>
        </w:rPr>
        <w:t xml:space="preserve"> Министерства здравоохранения и социального развити</w:t>
      </w:r>
      <w:r>
        <w:rPr>
          <w:rFonts w:ascii="Times New Roman" w:hAnsi="Times New Roman"/>
          <w:b w:val="0"/>
          <w:sz w:val="28"/>
        </w:rPr>
        <w:t>я Российской Федерации от 29.05.2008 № 248н «Об утверждении профессиональных квалификационных групп общеотраслевых профессий рабочих»:</w:t>
      </w:r>
    </w:p>
    <w:p w14:paraId="71000000">
      <w:pPr>
        <w:spacing w:after="120" w:before="120"/>
        <w:ind w:firstLine="420" w:left="120" w:right="12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 </w:t>
      </w: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</w:tblBorders>
        <w:tblLayout w:type="fixed"/>
      </w:tblPr>
      <w:tblGrid>
        <w:gridCol w:w="884"/>
        <w:gridCol w:w="5160"/>
        <w:gridCol w:w="3596"/>
      </w:tblGrid>
      <w:tr>
        <w:tc>
          <w:tcPr>
            <w:tcW w:type="dxa" w:w="8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2000000">
            <w:pPr>
              <w:spacing w:after="105" w:before="105"/>
              <w:ind w:firstLine="0" w:left="60" w:right="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type="dxa" w:w="51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3000000">
            <w:pPr>
              <w:spacing w:after="105" w:before="105"/>
              <w:ind w:firstLine="0" w:left="60" w:right="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Профессиональная квалификационная группа</w:t>
            </w:r>
          </w:p>
        </w:tc>
        <w:tc>
          <w:tcPr>
            <w:tcW w:type="dxa" w:w="35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4000000">
            <w:pPr>
              <w:spacing w:after="105" w:before="105"/>
              <w:ind w:firstLine="0" w:left="60" w:right="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Рекомендуемые размеры основных окладов (основных должностных окладов), рублей</w:t>
            </w:r>
          </w:p>
        </w:tc>
      </w:tr>
      <w:tr>
        <w:tc>
          <w:tcPr>
            <w:tcW w:type="dxa" w:w="8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5000000">
            <w:pPr>
              <w:spacing w:after="105" w:before="105"/>
              <w:ind w:firstLine="0" w:left="60" w:right="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51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6000000">
            <w:pPr>
              <w:spacing w:after="105" w:before="105"/>
              <w:ind w:firstLine="0" w:left="60" w:right="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35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7000000">
            <w:pPr>
              <w:spacing w:after="105" w:before="105"/>
              <w:ind w:firstLine="0" w:left="60" w:right="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>
        <w:tc>
          <w:tcPr>
            <w:tcW w:type="dxa" w:w="8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8000000">
            <w:pPr>
              <w:spacing w:after="105" w:before="105"/>
              <w:ind w:firstLine="0" w:left="60" w:right="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51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9000000">
            <w:pPr>
              <w:spacing w:after="105" w:before="105"/>
              <w:ind w:firstLine="0" w:left="60" w:right="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Должности, отнесенные к ПКГ «Общеотраслевые профессии рабочих первого уровня»</w:t>
            </w:r>
          </w:p>
        </w:tc>
        <w:tc>
          <w:tcPr>
            <w:tcW w:type="dxa" w:w="35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A000000">
            <w:pPr>
              <w:spacing w:after="105" w:before="105"/>
              <w:ind w:firstLine="0" w:left="60" w:right="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14165</w:t>
            </w:r>
          </w:p>
        </w:tc>
      </w:tr>
      <w:tr>
        <w:tc>
          <w:tcPr>
            <w:tcW w:type="dxa" w:w="8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B000000">
            <w:pPr>
              <w:spacing w:after="105" w:before="105"/>
              <w:ind w:firstLine="0" w:left="60" w:right="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type="dxa" w:w="51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C000000">
            <w:pPr>
              <w:spacing w:after="105" w:before="105"/>
              <w:ind w:firstLine="0" w:left="60" w:right="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Должности, отнесенные к ПКГ «Общеотраслевые профессии рабочих второго уровня»</w:t>
            </w:r>
          </w:p>
        </w:tc>
        <w:tc>
          <w:tcPr>
            <w:tcW w:type="dxa" w:w="35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D000000">
            <w:pPr>
              <w:spacing w:after="105" w:before="105"/>
              <w:ind w:firstLine="0" w:left="60" w:right="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18008</w:t>
            </w:r>
          </w:p>
        </w:tc>
      </w:tr>
    </w:tbl>
    <w:p w14:paraId="7E000000">
      <w:pPr>
        <w:spacing w:after="120" w:before="120"/>
        <w:ind w:firstLine="420" w:left="120" w:right="12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 </w:t>
      </w:r>
    </w:p>
    <w:p w14:paraId="7F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9. С учетом условий труда учреждения устанавливаются выплаты компенсационного характера, предусмотренные </w:t>
      </w:r>
      <w:r>
        <w:rPr>
          <w:rFonts w:ascii="Times New Roman" w:hAnsi="Times New Roman"/>
          <w:b w:val="0"/>
          <w:strike w:val="0"/>
          <w:color w:val="000000"/>
          <w:sz w:val="28"/>
        </w:rPr>
        <w:t>разделом 4</w:t>
      </w:r>
      <w:r>
        <w:rPr>
          <w:rFonts w:ascii="Times New Roman" w:hAnsi="Times New Roman"/>
          <w:b w:val="0"/>
          <w:color w:val="000000"/>
          <w:sz w:val="28"/>
        </w:rPr>
        <w:t xml:space="preserve"> настоящего Положения.</w:t>
      </w:r>
    </w:p>
    <w:p w14:paraId="80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10. Работникам учреждений выплачиваются премии, предусмотренные </w:t>
      </w:r>
      <w:r>
        <w:rPr>
          <w:rFonts w:ascii="Times New Roman" w:hAnsi="Times New Roman"/>
          <w:b w:val="0"/>
          <w:strike w:val="0"/>
          <w:color w:val="000000"/>
          <w:sz w:val="28"/>
        </w:rPr>
        <w:t>разделом 5</w:t>
      </w:r>
      <w:r>
        <w:rPr>
          <w:rFonts w:ascii="Times New Roman" w:hAnsi="Times New Roman"/>
          <w:b w:val="0"/>
          <w:color w:val="000000"/>
          <w:sz w:val="28"/>
        </w:rPr>
        <w:t xml:space="preserve"> настоящего Положения.</w:t>
      </w:r>
    </w:p>
    <w:p w14:paraId="81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11. По должностям работников, не вошедшим в ПКГ, размеры окладов устанавливаются по решению руководителя учреждений.</w:t>
      </w:r>
    </w:p>
    <w:p w14:paraId="82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Рекомендуемые размеры окладов руководителей отделений краевого государственного учреждения «Центр занятости населения Камчатского края» (далее - Учреждение): </w:t>
      </w:r>
    </w:p>
    <w:p w14:paraId="83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для руководителя отделения центра занятости населения 1 уровня на 25-30 % ниже должностного оклада руководителя Учреждения;</w:t>
      </w:r>
    </w:p>
    <w:p w14:paraId="84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для руководителя 2 уровня на 10-15 % ниже руководителя отделения центра занятости населения 1 уровня;</w:t>
      </w:r>
    </w:p>
    <w:p w14:paraId="85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для руководителя отделений 3 уровня на 5-10% от руководителя отделения центра занятости населения 2 уровня.</w:t>
      </w:r>
    </w:p>
    <w:p w14:paraId="86000000">
      <w:pPr>
        <w:spacing w:after="0" w:before="0"/>
        <w:ind w:firstLine="0" w:left="709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 </w:t>
      </w:r>
    </w:p>
    <w:p w14:paraId="87000000">
      <w:pPr>
        <w:spacing w:after="0" w:before="0"/>
        <w:ind w:firstLine="0" w:left="0" w:righ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3. Условия оплаты труда руководителя учреждения, </w:t>
      </w:r>
      <w:r>
        <w:rPr>
          <w:rFonts w:ascii="Times New Roman" w:hAnsi="Times New Roman"/>
          <w:b w:val="0"/>
          <w:sz w:val="28"/>
        </w:rPr>
        <w:t>его заместителей, главного бухгалтера</w:t>
      </w:r>
    </w:p>
    <w:p w14:paraId="88000000">
      <w:pPr>
        <w:spacing w:after="0" w:before="0"/>
        <w:ind w:firstLine="0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 </w:t>
      </w:r>
    </w:p>
    <w:p w14:paraId="89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12. Заработная плата руководителей учреждений, их заместителей и главных бухгалтеров состоит из должностного оклада, выплат компенсационного и стимулирующего характера.</w:t>
      </w:r>
    </w:p>
    <w:p w14:paraId="8A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13. Размер должностного оклада руководителей учреждений определяется трудовым договором в зависимости от сложности труда, в том числе с учетом масштаба управления и особенностей деятельности и значимости учреждения.</w:t>
      </w:r>
    </w:p>
    <w:p w14:paraId="8B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14. Выплаты компенсационного характера руководителей учреждений устанавливаются в зависимости от условий их труда в соответствии с трудовым законодательством, иными нормативными правовыми актами Российской Федерации, содержащими нормы трудового права.</w:t>
      </w:r>
    </w:p>
    <w:p w14:paraId="8C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15. Выплаты стимулирующего характера руководителей учреждений устанавливаются в зависимости от достижения целевых показателей эффективности работы, устанавливаемых Министерством.</w:t>
      </w:r>
    </w:p>
    <w:p w14:paraId="8D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16. Условия оплаты труда руководителей учреждений устанавливаются в трудовом договоре, заключаемом на основе типовой формы трудового </w:t>
      </w:r>
      <w:r>
        <w:rPr>
          <w:rFonts w:ascii="Times New Roman" w:hAnsi="Times New Roman"/>
          <w:b w:val="0"/>
          <w:strike w:val="0"/>
          <w:color w:val="000000"/>
          <w:sz w:val="28"/>
        </w:rPr>
        <w:t>договора</w:t>
      </w:r>
      <w:r>
        <w:rPr>
          <w:rFonts w:ascii="Times New Roman" w:hAnsi="Times New Roman"/>
          <w:b w:val="0"/>
          <w:color w:val="000000"/>
          <w:sz w:val="28"/>
        </w:rPr>
        <w:t>, утвержденной постановлением Правительства Российской Федерации от 12.04.2013 № 329 «О типовой форме трудового договора с руководителем государственного (муниципального) учреждения».</w:t>
      </w:r>
    </w:p>
    <w:p w14:paraId="8E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17. Условия и порядок премирования руководителей учреждений, а также критерии оценки эффективности их работы устанавливаются приказом Министерства.</w:t>
      </w:r>
    </w:p>
    <w:p w14:paraId="8F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18. Должностные оклады заместителей руководителей и главного бухгалтера устанавливаются на 20-30 процентов ниже должностного оклада руководителей этих учреждений.</w:t>
      </w:r>
    </w:p>
    <w:p w14:paraId="90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19. Предельное соотношение среднемесячной заработной платы руководителя, заместителей руководителя, главного бухгалтера учреждения и работников этих учреждений (без учета руководителя, заместителей руководителя, главного бухгалтера) формируемой за счет всех источников финансового обеспечения и рассчитываемой за календарный год, устанавливается в кратности от 1 до 5.</w:t>
      </w:r>
    </w:p>
    <w:p w14:paraId="91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sz w:val="28"/>
        </w:rPr>
        <w:t> </w:t>
      </w:r>
    </w:p>
    <w:p w14:paraId="92000000">
      <w:pPr>
        <w:spacing w:after="0" w:before="0"/>
        <w:ind w:firstLine="709" w:left="0" w:right="0"/>
        <w:jc w:val="center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4. Порядок и условия установления выплат </w:t>
      </w:r>
      <w:r>
        <w:rPr>
          <w:rFonts w:ascii="Times New Roman" w:hAnsi="Times New Roman"/>
          <w:b w:val="0"/>
          <w:color w:val="000000"/>
          <w:sz w:val="28"/>
        </w:rPr>
        <w:t>компенсационного характера</w:t>
      </w:r>
    </w:p>
    <w:p w14:paraId="93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 </w:t>
      </w:r>
    </w:p>
    <w:p w14:paraId="94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20. Оплата труда работников учреждений, занятых на работах с вредными и (или) опасными условиями труда, производится в повышенном размере.</w:t>
      </w:r>
    </w:p>
    <w:p w14:paraId="95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В этих целях в соответствии с перечнем видов выплат компенсационного характера в учреждениях, утверждаемым в установленном порядке, работникам могут быть установлены следующие выплаты компенсационного характера:</w:t>
      </w:r>
    </w:p>
    <w:p w14:paraId="96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выплаты работникам, занятым на работах с вредными и (или) опасными условиями труда;</w:t>
      </w:r>
    </w:p>
    <w:p w14:paraId="97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надбавка за работу со сведениями, составляющими государственную тайну;</w:t>
      </w:r>
    </w:p>
    <w:p w14:paraId="98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выплаты за работу в условиях, отклоняющихся от нормальных (при совмещении профессий (должностей), сверхурочной работе, работе в ночное время, при расширении зон обслуживания, при увеличении объема работы или исполнении обязанностей временно отсутствующего работника без освобождения от работы, определенной трудовым договором, за работу в выходные и нерабочие праздничные дни);</w:t>
      </w:r>
    </w:p>
    <w:p w14:paraId="99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выплаты за работу в местностях с особыми климатическими условиями.</w:t>
      </w:r>
    </w:p>
    <w:p w14:paraId="9A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21. Размеры доплат при совмещении профессий (должностей), расширении зон обслуживания или увеличения объема выполняемых работ при исполнении обязанностей временно отсутствующего работника без освобождения от работы, определенной трудовым договором, и сроки, на которые доплата устанавливается, определяются по соглашению сторон трудового договора с учетом содержания и (или) объема дополнительной работы в соответствии со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strike w:val="0"/>
          <w:color w:val="000000"/>
          <w:sz w:val="28"/>
        </w:rPr>
        <w:t>статьей 151</w:t>
      </w:r>
      <w:r>
        <w:rPr>
          <w:rFonts w:ascii="Times New Roman" w:hAnsi="Times New Roman"/>
          <w:b w:val="0"/>
          <w:sz w:val="28"/>
        </w:rPr>
        <w:t xml:space="preserve"> Трудового кодекса Российской Федерации.</w:t>
      </w:r>
    </w:p>
    <w:p w14:paraId="9B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22. Доплата за работу в ночное время производится работникам за каждый час работы в ночное время. Ночным считается время с 10 часов вечера до 6 часов утра.</w:t>
      </w:r>
    </w:p>
    <w:p w14:paraId="9C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Рекомендуемый размер доплаты - 50 процентов части основного оклада (основного должностного оклада) за час работы работника.</w:t>
      </w:r>
    </w:p>
    <w:p w14:paraId="9D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Расчет части основного оклада (основного должностного оклада) за час работы определяется путем деления основного оклада (основного должностного оклада) работника на среднемесячное количество рабочих часов в соответствующем календарном году.</w:t>
      </w:r>
    </w:p>
    <w:p w14:paraId="9E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sz w:val="28"/>
        </w:rPr>
        <w:t>23. Повышенная оплата за работу в выходные и нерабочие праздничные дни производится работникам, привлека</w:t>
      </w:r>
      <w:r>
        <w:rPr>
          <w:rFonts w:ascii="Times New Roman" w:hAnsi="Times New Roman"/>
          <w:b w:val="0"/>
          <w:color w:val="000000"/>
          <w:sz w:val="28"/>
        </w:rPr>
        <w:t xml:space="preserve">вшимся к работе в выходные и нерабочие праздничные дни, в соответствии со </w:t>
      </w:r>
      <w:r>
        <w:rPr>
          <w:rFonts w:ascii="Times New Roman" w:hAnsi="Times New Roman"/>
          <w:b w:val="0"/>
          <w:strike w:val="0"/>
          <w:color w:val="000000"/>
          <w:sz w:val="28"/>
        </w:rPr>
        <w:t>статьей 153</w:t>
      </w:r>
      <w:r>
        <w:rPr>
          <w:rFonts w:ascii="Times New Roman" w:hAnsi="Times New Roman"/>
          <w:b w:val="0"/>
          <w:color w:val="000000"/>
          <w:sz w:val="28"/>
        </w:rPr>
        <w:t xml:space="preserve"> Трудового кодекса Российской Федерации.</w:t>
      </w:r>
    </w:p>
    <w:p w14:paraId="9F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24. Повышенная оплата сверхурочной работы составляет за первые два часа работы не менее полуторного размера, за последующие часы - двойного размера в соответствии со </w:t>
      </w:r>
      <w:r>
        <w:rPr>
          <w:rFonts w:ascii="Times New Roman" w:hAnsi="Times New Roman"/>
          <w:b w:val="0"/>
          <w:strike w:val="0"/>
          <w:color w:val="000000"/>
          <w:sz w:val="28"/>
        </w:rPr>
        <w:t>статьей 152</w:t>
      </w:r>
      <w:r>
        <w:rPr>
          <w:rFonts w:ascii="Times New Roman" w:hAnsi="Times New Roman"/>
          <w:b w:val="0"/>
          <w:color w:val="000000"/>
          <w:sz w:val="28"/>
        </w:rPr>
        <w:t xml:space="preserve"> Трудовог</w:t>
      </w:r>
      <w:r>
        <w:rPr>
          <w:rFonts w:ascii="Times New Roman" w:hAnsi="Times New Roman"/>
          <w:b w:val="0"/>
          <w:sz w:val="28"/>
        </w:rPr>
        <w:t xml:space="preserve">о кодекса Российской Федерации, </w:t>
      </w:r>
      <w:r>
        <w:rPr>
          <w:rFonts w:ascii="Times New Roman" w:hAnsi="Times New Roman"/>
          <w:b w:val="0"/>
          <w:sz w:val="28"/>
        </w:rPr>
        <w:t>с учетом компенсационных и стимулирующих вы</w:t>
      </w:r>
      <w:r>
        <w:rPr>
          <w:rFonts w:ascii="Times New Roman" w:hAnsi="Times New Roman"/>
          <w:b w:val="0"/>
          <w:sz w:val="28"/>
        </w:rPr>
        <w:t>плат</w:t>
      </w:r>
      <w:r>
        <w:rPr>
          <w:rFonts w:ascii="Times New Roman" w:hAnsi="Times New Roman"/>
          <w:b w:val="0"/>
          <w:sz w:val="28"/>
        </w:rPr>
        <w:t>.</w:t>
      </w:r>
    </w:p>
    <w:p w14:paraId="A0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25. В районах с неблагоприятными природными климатическими условиями к заработной плате работников применяются:</w:t>
      </w:r>
    </w:p>
    <w:p w14:paraId="A1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районные коэффициенты;</w:t>
      </w:r>
    </w:p>
    <w:p w14:paraId="A2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процентные надбавки за стаж работы в районах Крайнего Севера и приравненных к ним местностям. Условия исчисления стажа для указанных процентных надбавок определяются в соответствии с действующим законодательством Российской Федерации.</w:t>
      </w:r>
    </w:p>
    <w:p w14:paraId="A3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26. Выплаты работникам учреждений, занятым на работах с вредными и (или) опасными условиями труда, устанавливаются в соответствии со </w:t>
      </w:r>
      <w:r>
        <w:rPr>
          <w:rFonts w:ascii="Times New Roman" w:hAnsi="Times New Roman"/>
          <w:b w:val="0"/>
          <w:strike w:val="0"/>
          <w:color w:val="000000"/>
          <w:sz w:val="28"/>
        </w:rPr>
        <w:t>статьей 147</w:t>
      </w:r>
      <w:r>
        <w:rPr>
          <w:rFonts w:ascii="Times New Roman" w:hAnsi="Times New Roman"/>
          <w:b w:val="0"/>
          <w:color w:val="000000"/>
          <w:sz w:val="28"/>
        </w:rPr>
        <w:t xml:space="preserve"> Трудового кодекса Российской Федерации.</w:t>
      </w:r>
    </w:p>
    <w:p w14:paraId="A4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27. Размер повышения оплаты труда работникам учреждений, занятым на работах с вредными и (или) опасными условиями труда, устанавливается по результатам специальной оценки условий труда.</w:t>
      </w:r>
    </w:p>
    <w:p w14:paraId="A5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Повышение оплаты труда работникам учреждений, занятым на работах с вредными и (или) опасными условиями труда, реализуется с учетом положений </w:t>
      </w:r>
      <w:r>
        <w:rPr>
          <w:rFonts w:ascii="Times New Roman" w:hAnsi="Times New Roman"/>
          <w:b w:val="0"/>
          <w:strike w:val="0"/>
          <w:color w:val="000000"/>
          <w:sz w:val="28"/>
        </w:rPr>
        <w:t>части 3 статьи 15</w:t>
      </w:r>
      <w:r>
        <w:rPr>
          <w:rFonts w:ascii="Times New Roman" w:hAnsi="Times New Roman"/>
          <w:b w:val="0"/>
          <w:sz w:val="28"/>
        </w:rPr>
        <w:t xml:space="preserve"> Федерального закона от 28.12.2013 № 421-ФЗ «О внесении изменений в отдельные законодательные акты Российской Федерации в связи с принятием Федерального закона «О специальной оценке условий труда».</w:t>
      </w:r>
    </w:p>
    <w:p w14:paraId="A6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В случае обеспечения на рабочих местах безопасных условий труда, подтвержденных результатами специальной оценки условий труда или заключением государственной экспертизы условий труда, повышение оплаты труда работникам учреждений не производится.</w:t>
      </w:r>
    </w:p>
    <w:p w14:paraId="A7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28. Работникам учреждений, указанных в 5 настоящего Порядка, занятым на работах с разными условиями вредности или опасности, доплата устанавливается в размере 30 процентов оклада.</w:t>
      </w:r>
    </w:p>
    <w:p w14:paraId="A8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 </w:t>
      </w:r>
    </w:p>
    <w:p w14:paraId="A9000000">
      <w:pPr>
        <w:spacing w:after="0" w:before="0"/>
        <w:ind w:firstLine="0" w:left="0" w:righ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5. Порядок и условия премирования работников учреждения</w:t>
      </w:r>
    </w:p>
    <w:p w14:paraId="AA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 </w:t>
      </w:r>
    </w:p>
    <w:p w14:paraId="AB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29. В целях поощрения работников за выполненную работу в учреждении в соответствии с </w:t>
      </w:r>
      <w:r>
        <w:rPr>
          <w:rFonts w:ascii="Times New Roman" w:hAnsi="Times New Roman"/>
          <w:b w:val="0"/>
          <w:strike w:val="0"/>
          <w:color w:val="000000"/>
          <w:sz w:val="28"/>
        </w:rPr>
        <w:t>перечнем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видов выплат стимулирующего характера, утвержденным постановлением Правительства Камчатского края                            от 21.07.2008 № 221-П «О подготовке к введению отраслевых систем оплаты труда работников государственных учреждений Камчатского края», устанавливаются следующие премии:</w:t>
      </w:r>
    </w:p>
    <w:p w14:paraId="AC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премия по итогам работы (за месяц, за квартал, полугодие, 9 месяцев, год);</w:t>
      </w:r>
    </w:p>
    <w:p w14:paraId="AD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премия за образцовое качество выполняемых работ;</w:t>
      </w:r>
    </w:p>
    <w:p w14:paraId="AE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премия за выполнение особо важных и срочных работ;</w:t>
      </w:r>
    </w:p>
    <w:p w14:paraId="AF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премия за интенсивность и высокие результаты работы.</w:t>
      </w:r>
    </w:p>
    <w:p w14:paraId="B0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Премирование осуществляется по решению руководителя учреждения в пределах бюджетных ассигнований на оплату труда работников учреждения:</w:t>
      </w:r>
    </w:p>
    <w:p w14:paraId="B1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заместителей руководителя, главного бухгалтера, главных специалистов и иных работников, подчиненных руководителю непосредственно;</w:t>
      </w:r>
    </w:p>
    <w:p w14:paraId="B2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руководителей структурных подразделений учреждения, главных специалистов и иных работников, подчиненных заместителям друководителя - по представлению заместителей руководителя;</w:t>
      </w:r>
    </w:p>
    <w:p w14:paraId="B3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остальных работников, занятых в структурных подразделениях учреждения - по представлению руководителей структурных подразделений.</w:t>
      </w:r>
    </w:p>
    <w:p w14:paraId="B4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Премирование работников учреждения осуществляется на основе положения о премировании, утверждаемого локальным нормативным актом по учреждению.</w:t>
      </w:r>
    </w:p>
    <w:p w14:paraId="B5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30. При премировании учитывается:</w:t>
      </w:r>
    </w:p>
    <w:p w14:paraId="B6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успешное и добросовестное исполнение работником своих должностных обязанностей в соответствующем периоде;</w:t>
      </w:r>
    </w:p>
    <w:p w14:paraId="B7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инициатива, творчество и применение в работе современных форм и методов организации труда;</w:t>
      </w:r>
    </w:p>
    <w:p w14:paraId="B8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качественная подготовка и проведение мероприятий, связанных с уставной деятельностью учреждения;</w:t>
      </w:r>
    </w:p>
    <w:p w14:paraId="B9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выполнение порученной работы, связанной с обеспечением рабочего процесса или уставной деятельности учреждения;</w:t>
      </w:r>
    </w:p>
    <w:p w14:paraId="BA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качественная подготовка и своевременная сдача отчетности;</w:t>
      </w:r>
    </w:p>
    <w:p w14:paraId="BB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участие в течение месяца в выполнении важных работ, мероприятий.</w:t>
      </w:r>
    </w:p>
    <w:p w14:paraId="BC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Премия по итогам работы выплачивается в пределах имеющихся средств. Конкретный размер премии может определяться как в процентах к окладу (должностному окладу) работника, так и в абсолютном размере. Максимальным размером премия по итогам работы не ограничена.</w:t>
      </w:r>
    </w:p>
    <w:p w14:paraId="BD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  <w:u w:val="none"/>
        </w:rPr>
      </w:pPr>
      <w:r>
        <w:rPr>
          <w:rFonts w:ascii="Times New Roman" w:hAnsi="Times New Roman"/>
          <w:b w:val="0"/>
          <w:sz w:val="28"/>
          <w:u w:val="none"/>
        </w:rPr>
        <w:t>31. Премия за образцовое качество выполняемых работ - выплачивается работникам единовременно при:</w:t>
      </w:r>
    </w:p>
    <w:p w14:paraId="BE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  <w:u w:val="none"/>
        </w:rPr>
      </w:pPr>
      <w:r>
        <w:rPr>
          <w:rFonts w:ascii="Times New Roman" w:hAnsi="Times New Roman"/>
          <w:b w:val="0"/>
          <w:sz w:val="28"/>
          <w:u w:val="none"/>
        </w:rPr>
        <w:t>поощрении Президентом Российской Федерации, Правительством Российской Федерации, присвоении почетных званий Российской Федерации и награждении особым знаком отличия - медалью «Золотая Звезда», знаками отличия Российской Федерации, награждении орденами и медалями Российской Федерации;</w:t>
      </w:r>
    </w:p>
    <w:p w14:paraId="BF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  <w:u w:val="none"/>
        </w:rPr>
      </w:pPr>
      <w:r>
        <w:rPr>
          <w:rFonts w:ascii="Times New Roman" w:hAnsi="Times New Roman"/>
          <w:b w:val="0"/>
          <w:sz w:val="28"/>
          <w:u w:val="none"/>
        </w:rPr>
        <w:t>награждении ведомственными наградами в случаях, предусмотренных нормативными правовыми актами.</w:t>
      </w:r>
    </w:p>
    <w:p w14:paraId="C0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32. Премия за выполнение особо важных и срочных работ - выплачивается работникам единовременно по итогам выполнения особо важных и срочных работ с целью поощрения работников за оперативность и качественный результат труда.</w:t>
      </w:r>
    </w:p>
    <w:p w14:paraId="C1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Размер премии может устанавливаться как в абсолютном значении, так и в процентном отношении к окладу (должностному окладу). Максимальным размером премия за выполнение особо важных работ и проведение мероприятий не ограничена.</w:t>
      </w:r>
    </w:p>
    <w:p w14:paraId="C2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33. Премия за интенсивность и высокие результаты работы - выплачивается работникам единовременно за интенсивность и высокие результаты работы. При премировании учитывается:</w:t>
      </w:r>
    </w:p>
    <w:p w14:paraId="C3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интенсивность и напряженность работы;</w:t>
      </w:r>
    </w:p>
    <w:p w14:paraId="C4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особый режим работы (связанный с обеспечением безаварийной, безотказной и бесперебойной работы инженерных и хозяйственно-эксплуатационных систем жизнеобеспечения учреждения);</w:t>
      </w:r>
    </w:p>
    <w:p w14:paraId="C5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организация и проведение мероприятий, направленных на повышение авторитета и имиджа учреждения среди населения;</w:t>
      </w:r>
    </w:p>
    <w:p w14:paraId="C6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непосредственное участие в реализации национальных проектов, федеральных и региональных целевых программ.</w:t>
      </w:r>
    </w:p>
    <w:p w14:paraId="C7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Размер премии может устанавливаться как в абсолютном значении, так и в процентном отношении к окладу (должностному окладу). Максимальным размером премия за выполнение особо важных работ и проведение мероприятий не ограничена.</w:t>
      </w:r>
    </w:p>
    <w:p w14:paraId="C8000000">
      <w:pPr>
        <w:spacing w:after="120" w:before="120"/>
        <w:ind w:firstLine="420" w:left="120" w:right="12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 </w:t>
      </w:r>
    </w:p>
    <w:p w14:paraId="C9000000">
      <w:pPr>
        <w:spacing w:after="0" w:before="0"/>
        <w:ind w:firstLine="0" w:left="0" w:righ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6. Порядок и условия выплаты работникам учреждения </w:t>
      </w:r>
      <w:r>
        <w:rPr>
          <w:rFonts w:ascii="Times New Roman" w:hAnsi="Times New Roman"/>
          <w:b w:val="0"/>
          <w:sz w:val="28"/>
        </w:rPr>
        <w:t>единовременной материальной помощи</w:t>
      </w:r>
    </w:p>
    <w:p w14:paraId="CA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 </w:t>
      </w:r>
    </w:p>
    <w:p w14:paraId="CB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34. Руководителю и работникам учреждения при наличии экономии фонда оплаты труда выплачивается единовременная материальная помощь.</w:t>
      </w:r>
    </w:p>
    <w:p w14:paraId="CC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35. Единовременная материальная помощь выплачивается в следующих случаях:</w:t>
      </w:r>
    </w:p>
    <w:p w14:paraId="CD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1) в связи с заключением брака;</w:t>
      </w:r>
    </w:p>
    <w:p w14:paraId="CE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2) в связи с рождением ребенка;</w:t>
      </w:r>
    </w:p>
    <w:p w14:paraId="CF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3) в связи со смертью близких родственников (родителей, детей, супруга (супруги);</w:t>
      </w:r>
    </w:p>
    <w:p w14:paraId="D0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4) в связи с причиненным ущербом имуществу работников учреждения в результате стихийного бедствия, чрезвычайной ситуации, противоправных действий третьих лиц;</w:t>
      </w:r>
    </w:p>
    <w:p w14:paraId="D1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5) в связи с заболеванием, получением травмы работником учреждения;</w:t>
      </w:r>
    </w:p>
    <w:p w14:paraId="D2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6) в связи с юбилейными датами.</w:t>
      </w:r>
    </w:p>
    <w:p w14:paraId="D3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38. Решение о выплате единовременной материальной помощи и ее конкретных размерах руководителю учреждения принимает Министр труда и развития кадрового потенциала Камчатского края на основании письменного заявления руководителя учреждения с приложением копий документов, подтверждающих наступление события, указанного в 4 настоящего Порядка.</w:t>
      </w:r>
    </w:p>
    <w:p w14:paraId="D4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sz w:val="28"/>
        </w:rPr>
        <w:t xml:space="preserve">39. Решение о выплате единовременной материальной помощи и ее конкретных размерах работнику учреждения принимает руководитель учреждения на основании письменного заявления работника учреждения с приложением копий документов, подтверждающих наступление события, указанного в </w:t>
      </w:r>
      <w:r>
        <w:rPr>
          <w:rFonts w:ascii="Times New Roman" w:hAnsi="Times New Roman"/>
          <w:b w:val="0"/>
          <w:strike w:val="0"/>
          <w:color w:val="000000"/>
          <w:sz w:val="28"/>
        </w:rPr>
        <w:t>части 35</w:t>
      </w:r>
      <w:r>
        <w:rPr>
          <w:rFonts w:ascii="Times New Roman" w:hAnsi="Times New Roman"/>
          <w:b w:val="0"/>
          <w:color w:val="000000"/>
          <w:sz w:val="28"/>
        </w:rPr>
        <w:t xml:space="preserve"> настоящего Порядка.</w:t>
      </w:r>
    </w:p>
    <w:p w14:paraId="D5000000">
      <w:pPr>
        <w:spacing w:after="120" w:before="120"/>
        <w:ind w:firstLine="420" w:left="120" w:right="12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 </w:t>
      </w:r>
    </w:p>
    <w:p w14:paraId="D6000000">
      <w:pPr>
        <w:spacing w:after="120" w:before="120"/>
        <w:ind w:firstLine="420" w:left="120" w:right="12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 </w:t>
      </w:r>
    </w:p>
    <w:p w14:paraId="D7000000">
      <w:pPr>
        <w:spacing w:after="120" w:before="120"/>
        <w:ind w:firstLine="420" w:left="120" w:right="12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 </w:t>
      </w:r>
    </w:p>
    <w:p w14:paraId="D8000000">
      <w:pPr>
        <w:spacing w:after="120" w:before="120"/>
        <w:ind w:firstLine="420" w:left="120" w:right="12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 </w:t>
      </w:r>
    </w:p>
    <w:p w14:paraId="D9000000">
      <w:pPr>
        <w:spacing w:after="120" w:before="120"/>
        <w:ind w:firstLine="420" w:left="120" w:right="12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 </w:t>
      </w:r>
    </w:p>
    <w:p w14:paraId="DA000000">
      <w:pPr>
        <w:spacing w:after="120" w:before="120"/>
        <w:ind w:firstLine="0" w:left="120" w:right="120"/>
        <w:jc w:val="right"/>
        <w:rPr>
          <w:rFonts w:ascii="Times New Roman" w:hAnsi="Times New Roman"/>
          <w:b w:val="0"/>
          <w:sz w:val="28"/>
        </w:rPr>
      </w:pPr>
    </w:p>
    <w:p w14:paraId="DB000000">
      <w:pPr>
        <w:spacing w:after="120" w:before="120"/>
        <w:ind w:firstLine="0" w:left="120" w:right="120"/>
        <w:jc w:val="right"/>
        <w:rPr>
          <w:rFonts w:ascii="Times New Roman" w:hAnsi="Times New Roman"/>
          <w:b w:val="0"/>
          <w:sz w:val="28"/>
        </w:rPr>
      </w:pPr>
    </w:p>
    <w:p w14:paraId="DC000000">
      <w:pPr>
        <w:spacing w:after="120" w:before="120"/>
        <w:ind w:firstLine="0" w:left="120" w:right="120"/>
        <w:jc w:val="right"/>
        <w:rPr>
          <w:rFonts w:ascii="Times New Roman" w:hAnsi="Times New Roman"/>
          <w:b w:val="0"/>
          <w:sz w:val="28"/>
        </w:rPr>
      </w:pPr>
    </w:p>
    <w:p w14:paraId="DD000000">
      <w:pPr>
        <w:spacing w:after="120" w:before="120"/>
        <w:ind w:firstLine="0" w:left="120" w:right="120"/>
        <w:jc w:val="right"/>
        <w:rPr>
          <w:rFonts w:ascii="Times New Roman" w:hAnsi="Times New Roman"/>
          <w:b w:val="0"/>
          <w:sz w:val="28"/>
        </w:rPr>
      </w:pPr>
    </w:p>
    <w:p w14:paraId="DE000000">
      <w:pPr>
        <w:spacing w:after="120" w:before="120"/>
        <w:ind w:firstLine="0" w:left="120" w:right="120"/>
        <w:jc w:val="right"/>
        <w:rPr>
          <w:rFonts w:ascii="Times New Roman" w:hAnsi="Times New Roman"/>
          <w:b w:val="0"/>
          <w:sz w:val="28"/>
        </w:rPr>
      </w:pPr>
    </w:p>
    <w:p w14:paraId="DF000000">
      <w:pPr>
        <w:spacing w:after="120" w:before="120"/>
        <w:ind w:firstLine="0" w:left="120" w:right="120"/>
        <w:jc w:val="right"/>
        <w:rPr>
          <w:rFonts w:ascii="Times New Roman" w:hAnsi="Times New Roman"/>
          <w:b w:val="0"/>
          <w:sz w:val="28"/>
        </w:rPr>
      </w:pPr>
    </w:p>
    <w:p w14:paraId="E0000000">
      <w:pPr>
        <w:spacing w:after="0" w:before="0"/>
        <w:ind w:firstLine="120" w:left="0" w:right="0"/>
        <w:jc w:val="right"/>
        <w:rPr>
          <w:rFonts w:ascii="Times New Roman" w:hAnsi="Times New Roman"/>
          <w:b w:val="0"/>
          <w:sz w:val="28"/>
        </w:rPr>
      </w:pPr>
    </w:p>
    <w:p w14:paraId="E1000000">
      <w:pPr>
        <w:spacing w:after="0" w:before="0"/>
        <w:ind w:firstLine="120" w:left="0" w:right="0"/>
        <w:jc w:val="right"/>
        <w:rPr>
          <w:rFonts w:ascii="Times New Roman" w:hAnsi="Times New Roman"/>
          <w:b w:val="0"/>
          <w:sz w:val="28"/>
        </w:rPr>
      </w:pPr>
    </w:p>
    <w:p w14:paraId="E2000000">
      <w:pPr>
        <w:spacing w:after="0" w:before="0"/>
        <w:ind w:firstLine="120" w:left="0" w:right="0"/>
        <w:jc w:val="right"/>
        <w:rPr>
          <w:rFonts w:ascii="Times New Roman" w:hAnsi="Times New Roman"/>
          <w:b w:val="0"/>
          <w:sz w:val="28"/>
        </w:rPr>
      </w:pPr>
    </w:p>
    <w:p w14:paraId="E3000000">
      <w:pPr>
        <w:spacing w:after="0" w:before="0"/>
        <w:ind w:firstLine="120" w:left="0" w:right="0"/>
        <w:jc w:val="right"/>
        <w:rPr>
          <w:rFonts w:ascii="Times New Roman" w:hAnsi="Times New Roman"/>
          <w:b w:val="0"/>
          <w:sz w:val="28"/>
        </w:rPr>
      </w:pPr>
    </w:p>
    <w:p w14:paraId="E4000000">
      <w:pPr>
        <w:spacing w:after="0" w:before="0"/>
        <w:ind w:firstLine="120" w:left="0" w:right="0"/>
        <w:jc w:val="right"/>
        <w:rPr>
          <w:rFonts w:ascii="Times New Roman" w:hAnsi="Times New Roman"/>
          <w:b w:val="0"/>
          <w:sz w:val="28"/>
        </w:rPr>
      </w:pPr>
    </w:p>
    <w:p w14:paraId="E5000000">
      <w:pPr>
        <w:spacing w:after="0" w:before="0"/>
        <w:ind w:firstLine="120" w:left="0" w:right="0"/>
        <w:jc w:val="right"/>
        <w:rPr>
          <w:rFonts w:ascii="Times New Roman" w:hAnsi="Times New Roman"/>
          <w:b w:val="0"/>
          <w:sz w:val="28"/>
        </w:rPr>
      </w:pPr>
    </w:p>
    <w:p w14:paraId="E6000000">
      <w:pPr>
        <w:spacing w:after="0" w:before="0"/>
        <w:ind w:firstLine="120" w:left="0" w:right="0"/>
        <w:jc w:val="right"/>
        <w:rPr>
          <w:rFonts w:ascii="Times New Roman" w:hAnsi="Times New Roman"/>
          <w:b w:val="0"/>
          <w:sz w:val="28"/>
        </w:rPr>
      </w:pPr>
    </w:p>
    <w:p w14:paraId="E7000000">
      <w:pPr>
        <w:spacing w:after="0" w:before="0"/>
        <w:ind w:firstLine="120" w:left="0" w:right="0"/>
        <w:jc w:val="right"/>
        <w:rPr>
          <w:rFonts w:ascii="Times New Roman" w:hAnsi="Times New Roman"/>
          <w:b w:val="0"/>
          <w:sz w:val="28"/>
        </w:rPr>
      </w:pPr>
    </w:p>
    <w:p w14:paraId="E8000000">
      <w:pPr>
        <w:spacing w:after="0" w:before="0"/>
        <w:ind w:firstLine="120" w:left="0" w:right="0"/>
        <w:jc w:val="right"/>
        <w:rPr>
          <w:rFonts w:ascii="Times New Roman" w:hAnsi="Times New Roman"/>
          <w:b w:val="0"/>
          <w:sz w:val="28"/>
        </w:rPr>
      </w:pPr>
    </w:p>
    <w:p w14:paraId="E9000000">
      <w:pPr>
        <w:spacing w:after="0" w:before="0"/>
        <w:ind w:firstLine="120" w:left="0" w:right="0"/>
        <w:jc w:val="right"/>
        <w:rPr>
          <w:rFonts w:ascii="Times New Roman" w:hAnsi="Times New Roman"/>
          <w:b w:val="0"/>
          <w:sz w:val="28"/>
        </w:rPr>
      </w:pPr>
    </w:p>
    <w:p w14:paraId="EA000000">
      <w:pPr>
        <w:spacing w:after="0" w:before="0"/>
        <w:ind w:firstLine="120" w:left="0" w:right="0"/>
        <w:jc w:val="righ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Приложение</w:t>
      </w:r>
    </w:p>
    <w:p w14:paraId="EB000000">
      <w:pPr>
        <w:spacing w:after="0" w:before="0"/>
        <w:ind w:firstLine="120" w:left="0" w:right="0"/>
        <w:jc w:val="righ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к Примерному положению об оплате труда</w:t>
      </w:r>
    </w:p>
    <w:p w14:paraId="EC000000">
      <w:pPr>
        <w:spacing w:after="0" w:before="0"/>
        <w:ind w:firstLine="120" w:left="0" w:right="0"/>
        <w:jc w:val="righ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работников краевых государственных</w:t>
      </w:r>
    </w:p>
    <w:p w14:paraId="ED000000">
      <w:pPr>
        <w:spacing w:after="0" w:before="0"/>
        <w:ind w:firstLine="120" w:left="0" w:right="0"/>
        <w:jc w:val="righ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учреждений, подведомственных</w:t>
      </w:r>
    </w:p>
    <w:p w14:paraId="EE000000">
      <w:pPr>
        <w:spacing w:after="0" w:before="0"/>
        <w:ind w:firstLine="120" w:left="0" w:right="0"/>
        <w:jc w:val="righ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Министерству труда и развития</w:t>
      </w:r>
    </w:p>
    <w:p w14:paraId="EF000000">
      <w:pPr>
        <w:spacing w:after="0" w:before="0"/>
        <w:ind w:firstLine="120" w:left="0" w:right="0"/>
        <w:jc w:val="righ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кадрового потенциала</w:t>
      </w:r>
    </w:p>
    <w:p w14:paraId="F0000000">
      <w:pPr>
        <w:spacing w:after="0" w:before="0"/>
        <w:ind w:firstLine="120" w:left="0" w:right="0"/>
        <w:jc w:val="righ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Камчатского края</w:t>
      </w:r>
    </w:p>
    <w:p w14:paraId="F1000000">
      <w:pPr>
        <w:spacing w:after="0" w:before="0"/>
        <w:ind w:firstLine="540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 </w:t>
      </w:r>
    </w:p>
    <w:p w14:paraId="F2000000">
      <w:pPr>
        <w:spacing w:after="0" w:before="0"/>
        <w:ind w:firstLine="0" w:left="0" w:righ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Положение</w:t>
      </w:r>
    </w:p>
    <w:p w14:paraId="F3000000">
      <w:pPr>
        <w:spacing w:after="0" w:before="0"/>
        <w:ind w:firstLine="0" w:left="0" w:righ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о выплатах стимулирующего характера руководителям</w:t>
      </w:r>
    </w:p>
    <w:p w14:paraId="F4000000">
      <w:pPr>
        <w:spacing w:after="0" w:before="0"/>
        <w:ind w:firstLine="0" w:left="0" w:righ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краевых государственных учреждений, подведомственными</w:t>
      </w:r>
    </w:p>
    <w:p w14:paraId="F5000000">
      <w:pPr>
        <w:spacing w:after="0" w:before="0"/>
        <w:ind w:firstLine="0" w:left="0" w:righ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Министерству труда и развития кадрового потенциала</w:t>
      </w:r>
    </w:p>
    <w:p w14:paraId="F6000000">
      <w:pPr>
        <w:spacing w:after="0" w:before="0"/>
        <w:ind w:firstLine="0" w:left="0" w:righ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Камчатского края, и примерных показателей</w:t>
      </w:r>
    </w:p>
    <w:p w14:paraId="F7000000">
      <w:pPr>
        <w:spacing w:after="0" w:before="0"/>
        <w:ind w:firstLine="0" w:left="0" w:righ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стимулирования</w:t>
      </w:r>
    </w:p>
    <w:p w14:paraId="F8000000">
      <w:pPr>
        <w:spacing w:after="120" w:before="120"/>
        <w:ind w:firstLine="420" w:left="120" w:right="12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 </w:t>
      </w:r>
    </w:p>
    <w:p w14:paraId="F9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1. Настоящее Положение разработано в соответствии с п</w:t>
      </w:r>
      <w:r>
        <w:rPr>
          <w:rFonts w:ascii="Times New Roman" w:hAnsi="Times New Roman"/>
          <w:b w:val="0"/>
          <w:strike w:val="0"/>
          <w:color w:val="000000"/>
          <w:sz w:val="28"/>
        </w:rPr>
        <w:t>остановлением</w:t>
      </w:r>
      <w:r>
        <w:rPr>
          <w:rFonts w:ascii="Times New Roman" w:hAnsi="Times New Roman"/>
          <w:b w:val="0"/>
          <w:color w:val="000000"/>
          <w:sz w:val="28"/>
        </w:rPr>
        <w:t xml:space="preserve"> Правительства Камчатского края от 21.07.2008 № 221-П «О подготовке к введению отраслевых систем оплаты труда работников государственных учреждений Камчатского края», п</w:t>
      </w:r>
      <w:r>
        <w:rPr>
          <w:rFonts w:ascii="Times New Roman" w:hAnsi="Times New Roman"/>
          <w:b w:val="0"/>
          <w:strike w:val="0"/>
          <w:color w:val="000000"/>
          <w:sz w:val="28"/>
        </w:rPr>
        <w:t>риказом</w:t>
      </w:r>
      <w:r>
        <w:rPr>
          <w:rFonts w:ascii="Times New Roman" w:hAnsi="Times New Roman"/>
          <w:b w:val="0"/>
          <w:color w:val="000000"/>
          <w:sz w:val="28"/>
        </w:rPr>
        <w:t xml:space="preserve"> Министерства здравоохранения и социального развития Российской Федерации от 08.04.2008 № 167н                           «Об утверждении порядка исчисления размера средней заработной платы для определения размера должностного оклада руководителя федерального бюджетного учреждения».</w:t>
      </w:r>
    </w:p>
    <w:p w14:paraId="FA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2. Выплаты стимулирующего характера предназначены для увеличения заинтересованности руководителя краевого государственного учреждения, подведомственного Министерству труда и развития кадрового потенциала Камчатского края (далее - учреждение), в повышении результативности своей профессиональной деятельности, в качественном результате своего труда, своевременного выполнения своих должностных обязанностей и поощрения его за выполненную надлежащим образом работу.</w:t>
      </w:r>
    </w:p>
    <w:p w14:paraId="FB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3. К премиальным выплатам относятся:</w:t>
      </w:r>
    </w:p>
    <w:p w14:paraId="FC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1) премия по итогам работы (квартал, полугодие, 9 месяцев, год);</w:t>
      </w:r>
    </w:p>
    <w:p w14:paraId="FD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2) премия за выполнение особо важных и срочных работ.</w:t>
      </w:r>
    </w:p>
    <w:p w14:paraId="FE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4. Премирование осуществляется по решению Министерства.</w:t>
      </w:r>
    </w:p>
    <w:p w14:paraId="FF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5. Размер выплат стимулирующего характера руководителю учреждения определяется с учетом исполнения целевых показателей деятельности учреждения, утверждаемых Министерством.</w:t>
      </w:r>
    </w:p>
    <w:p w14:paraId="0001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6. Премирование осуществляется на основании настоящего Положения по результатам подведения итогов деятельности учреждения.</w:t>
      </w:r>
    </w:p>
    <w:p w14:paraId="0101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7. Основным показателем деятельности учреждения является качественное, своевременное и в полном объеме выполнение мероприятий, связанных с уставной деятельностью учреждения.</w:t>
      </w:r>
    </w:p>
    <w:p w14:paraId="0201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8. Критериями оценки и целевыми показателями эффективности работы руководителя учреждения являются:</w:t>
      </w:r>
    </w:p>
    <w:p w14:paraId="0301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1) выполнение в полном объеме мероприятий, связанных с уставной деятельностью учреждения;</w:t>
      </w:r>
    </w:p>
    <w:p w14:paraId="0401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2) своевременная подготовка информационных и аналитических материалов;</w:t>
      </w:r>
    </w:p>
    <w:p w14:paraId="0501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3) внедрение передовых методов работы и новых форм обслуживания;</w:t>
      </w:r>
    </w:p>
    <w:p w14:paraId="0601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4) финансово-экономические показатели;</w:t>
      </w:r>
    </w:p>
    <w:p w14:paraId="0701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5) кассовое исполнение утвержденных лимитов бюджетных обязательств;</w:t>
      </w:r>
    </w:p>
    <w:p w14:paraId="0801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6) эффективность планирования бюджета;</w:t>
      </w:r>
    </w:p>
    <w:p w14:paraId="0901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7) работа с кадрами;</w:t>
      </w:r>
    </w:p>
    <w:p w14:paraId="0A01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8) текучесть кадров среди работников (годовой показатель);</w:t>
      </w:r>
    </w:p>
    <w:p w14:paraId="0B01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9) повышение квалификации сотрудников;</w:t>
      </w:r>
    </w:p>
    <w:p w14:paraId="0C01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10) стоимость содержания 1 человека в день;</w:t>
      </w:r>
    </w:p>
    <w:p w14:paraId="0D01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11) полнота и качество оказания государственных услуг.</w:t>
      </w:r>
    </w:p>
    <w:p w14:paraId="0E01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9. В качестве показателя эффективности работы руководителя учреждения по решению Министерства может быть установлен рост средней заработной платы работников учреждения в отчетном году по сравнению с предшествующим годом без учета повышения размера заработной платы в соответствии с законом Камчатского края о краевом бюджете на очередной финансовый год и на плановый период и нормативными правовыми актами Правительства Камчатского края.</w:t>
      </w:r>
    </w:p>
    <w:p w14:paraId="0F01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10. Премия руководителю учреждения может быть увеличена, в случае если учреждением обеспечивается:</w:t>
      </w:r>
    </w:p>
    <w:p w14:paraId="1001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1) участие в реализации пилотных проектов;</w:t>
      </w:r>
    </w:p>
    <w:p w14:paraId="1101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2) внедрение в практическую деятельность современных информационных технологий;</w:t>
      </w:r>
    </w:p>
    <w:p w14:paraId="1201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3) проведение конкурсов лучшего по профессии;</w:t>
      </w:r>
    </w:p>
    <w:p w14:paraId="1301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4) подготовка и проведение обучающих семинаров для специалистов учреждений.</w:t>
      </w:r>
    </w:p>
    <w:p w14:paraId="1401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11. При определении размера премии также учитывается:</w:t>
      </w:r>
    </w:p>
    <w:p w14:paraId="1501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1) нарушения финансовой, налоговой дисциплины, нарушения при осуществлении закупок для нужд учреждения;</w:t>
      </w:r>
    </w:p>
    <w:p w14:paraId="1601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2) нарушения трудовой, исполнительской дисциплины;</w:t>
      </w:r>
    </w:p>
    <w:p w14:paraId="1701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3) низкое качество документов, направляемых в Министерство.</w:t>
      </w:r>
    </w:p>
    <w:p w14:paraId="1801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12. Премия за выполнение особо важных и срочных работ выплачивается руководителю учреждения единовременно по итогам выполнения особо важных и срочных работ с целью поощрения за оперативность и качественный результат труда.</w:t>
      </w:r>
    </w:p>
    <w:p w14:paraId="1901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13. Размер премии может устанавливаться как в абсолютном значении, так и в процентном отношении к должностному окладу (основному должностному окладу). Максимальным размером премия за выполнение особо важных и срочных работ и проведение мероприятий не ограничена.</w:t>
      </w:r>
    </w:p>
    <w:p w14:paraId="1A010000">
      <w:pPr>
        <w:rPr>
          <w:rFonts w:ascii="Times New Roman" w:hAnsi="Times New Roman"/>
        </w:rPr>
      </w:pPr>
    </w:p>
    <w:sectPr>
      <w:headerReference r:id="rId1" w:type="default"/>
      <w:pgSz w:h="16848" w:orient="portrait" w:w="11908"/>
      <w:pgMar w:bottom="1134" w:footer="709" w:gutter="0" w:header="709" w:left="1417" w:right="850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 xml:space="preserve">PAGE </w:instrText>
    </w:r>
    <w:r>
      <w:rPr>
        <w:rFonts w:ascii="Times New Roman" w:hAnsi="Times New Roman"/>
        <w:sz w:val="28"/>
      </w:rPr>
      <w:fldChar w:fldCharType="separate"/>
    </w:r>
    <w:r>
      <w:rPr>
        <w:rFonts w:ascii="Times New Roman" w:hAnsi="Times New Roman"/>
        <w:sz w:val="28"/>
      </w:rPr>
      <w:fldChar w:fldCharType="end"/>
    </w:r>
  </w:p>
  <w:p w14:paraId="01000000">
    <w:pPr>
      <w:pStyle w:val="Style_1"/>
      <w:ind/>
      <w:jc w:val="center"/>
      <w:rPr>
        <w:rFonts w:ascii="Times New Roman" w:hAnsi="Times New Roman"/>
        <w:sz w:val="28"/>
      </w:rPr>
    </w:pPr>
  </w:p>
  <w:p w14:paraId="02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Основной шрифт абзаца1"/>
    <w:link w:val="Style_7_ch"/>
  </w:style>
  <w:style w:styleId="Style_7_ch" w:type="character">
    <w:name w:val="Основной шрифт абзаца1"/>
    <w:link w:val="Style_7"/>
  </w:style>
  <w:style w:styleId="Style_8" w:type="paragraph">
    <w:name w:val="toc 6"/>
    <w:next w:val="Style_4"/>
    <w:link w:val="Style_8_ch"/>
    <w:uiPriority w:val="39"/>
    <w:pPr>
      <w:ind w:firstLine="0" w:left="1000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4"/>
    <w:link w:val="Style_9_ch"/>
    <w:uiPriority w:val="39"/>
    <w:pPr>
      <w:ind w:firstLine="0" w:left="1200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ConsPlusTitle"/>
    <w:link w:val="Style_10_ch"/>
    <w:pPr>
      <w:widowControl w:val="0"/>
      <w:spacing w:after="0" w:line="240" w:lineRule="auto"/>
      <w:ind/>
    </w:pPr>
    <w:rPr>
      <w:rFonts w:ascii="Arial" w:hAnsi="Arial"/>
      <w:b w:val="1"/>
      <w:sz w:val="24"/>
    </w:rPr>
  </w:style>
  <w:style w:styleId="Style_10_ch" w:type="character">
    <w:name w:val="ConsPlusTitle"/>
    <w:link w:val="Style_10"/>
    <w:rPr>
      <w:rFonts w:ascii="Arial" w:hAnsi="Arial"/>
      <w:b w:val="1"/>
      <w:sz w:val="24"/>
    </w:rPr>
  </w:style>
  <w:style w:styleId="Style_11" w:type="paragraph">
    <w:name w:val="ConsPlusNormal"/>
    <w:link w:val="Style_11_ch"/>
    <w:pPr>
      <w:widowControl w:val="0"/>
      <w:spacing w:after="0" w:line="240" w:lineRule="auto"/>
      <w:ind/>
    </w:pPr>
    <w:rPr>
      <w:rFonts w:ascii="Times New Roman" w:hAnsi="Times New Roman"/>
      <w:sz w:val="24"/>
    </w:rPr>
  </w:style>
  <w:style w:styleId="Style_11_ch" w:type="character">
    <w:name w:val="ConsPlusNormal"/>
    <w:link w:val="Style_11"/>
    <w:rPr>
      <w:rFonts w:ascii="Times New Roman" w:hAnsi="Times New Roman"/>
      <w:sz w:val="24"/>
    </w:rPr>
  </w:style>
  <w:style w:styleId="Style_12" w:type="paragraph">
    <w:name w:val="End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Endnote"/>
    <w:link w:val="Style_12"/>
    <w:rPr>
      <w:rFonts w:ascii="XO Thames" w:hAnsi="XO Thames"/>
      <w:sz w:val="22"/>
    </w:rPr>
  </w:style>
  <w:style w:styleId="Style_13" w:type="paragraph">
    <w:name w:val="heading 3"/>
    <w:next w:val="Style_4"/>
    <w:link w:val="Style_13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3_ch" w:type="character">
    <w:name w:val="heading 3"/>
    <w:link w:val="Style_13"/>
    <w:rPr>
      <w:rFonts w:ascii="XO Thames" w:hAnsi="XO Thames"/>
      <w:b w:val="1"/>
      <w:sz w:val="26"/>
    </w:rPr>
  </w:style>
  <w:style w:styleId="Style_14" w:type="paragraph">
    <w:name w:val="Plain Text"/>
    <w:basedOn w:val="Style_4"/>
    <w:link w:val="Style_14_ch"/>
    <w:pPr>
      <w:spacing w:after="0" w:line="240" w:lineRule="auto"/>
      <w:ind/>
    </w:pPr>
    <w:rPr>
      <w:rFonts w:ascii="Calibri" w:hAnsi="Calibri"/>
    </w:rPr>
  </w:style>
  <w:style w:styleId="Style_14_ch" w:type="character">
    <w:name w:val="Plain Text"/>
    <w:basedOn w:val="Style_4_ch"/>
    <w:link w:val="Style_14"/>
    <w:rPr>
      <w:rFonts w:ascii="Calibri" w:hAnsi="Calibri"/>
    </w:rPr>
  </w:style>
  <w:style w:styleId="Style_15" w:type="paragraph">
    <w:name w:val="Обычный1"/>
    <w:link w:val="Style_15_ch"/>
  </w:style>
  <w:style w:styleId="Style_15_ch" w:type="character">
    <w:name w:val="Обычный1"/>
    <w:link w:val="Style_15"/>
  </w:style>
  <w:style w:styleId="Style_16" w:type="paragraph">
    <w:name w:val="toc 3"/>
    <w:next w:val="Style_4"/>
    <w:link w:val="Style_16_ch"/>
    <w:uiPriority w:val="39"/>
    <w:pPr>
      <w:ind w:firstLine="0" w:left="400"/>
    </w:pPr>
    <w:rPr>
      <w:rFonts w:ascii="XO Thames" w:hAnsi="XO Thames"/>
      <w:sz w:val="28"/>
    </w:rPr>
  </w:style>
  <w:style w:styleId="Style_16_ch" w:type="character">
    <w:name w:val="toc 3"/>
    <w:link w:val="Style_16"/>
    <w:rPr>
      <w:rFonts w:ascii="XO Thames" w:hAnsi="XO Thames"/>
      <w:sz w:val="28"/>
    </w:rPr>
  </w:style>
  <w:style w:styleId="Style_17" w:type="paragraph">
    <w:name w:val="Default Paragraph Font"/>
    <w:link w:val="Style_17_ch"/>
  </w:style>
  <w:style w:styleId="Style_17_ch" w:type="character">
    <w:name w:val="Default Paragraph Font"/>
    <w:link w:val="Style_17"/>
  </w:style>
  <w:style w:styleId="Style_18" w:type="paragraph">
    <w:name w:val="Гиперссылка2"/>
    <w:link w:val="Style_18_ch"/>
    <w:rPr>
      <w:color w:val="0000FF"/>
      <w:u w:val="single"/>
    </w:rPr>
  </w:style>
  <w:style w:styleId="Style_18_ch" w:type="character">
    <w:name w:val="Гиперссылка2"/>
    <w:link w:val="Style_18"/>
    <w:rPr>
      <w:color w:val="0000FF"/>
      <w:u w:val="single"/>
    </w:rPr>
  </w:style>
  <w:style w:styleId="Style_19" w:type="paragraph">
    <w:name w:val="Основной шрифт абзаца1"/>
    <w:link w:val="Style_19_ch"/>
  </w:style>
  <w:style w:styleId="Style_19_ch" w:type="character">
    <w:name w:val="Основной шрифт абзаца1"/>
    <w:link w:val="Style_19"/>
  </w:style>
  <w:style w:styleId="Style_20" w:type="paragraph">
    <w:name w:val="heading 5"/>
    <w:next w:val="Style_4"/>
    <w:link w:val="Style_2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20_ch" w:type="character">
    <w:name w:val="heading 5"/>
    <w:link w:val="Style_20"/>
    <w:rPr>
      <w:rFonts w:ascii="XO Thames" w:hAnsi="XO Thames"/>
      <w:b w:val="1"/>
    </w:rPr>
  </w:style>
  <w:style w:styleId="Style_21" w:type="paragraph">
    <w:name w:val="heading 1"/>
    <w:next w:val="Style_4"/>
    <w:link w:val="Style_2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1_ch" w:type="character">
    <w:name w:val="heading 1"/>
    <w:link w:val="Style_21"/>
    <w:rPr>
      <w:rFonts w:ascii="XO Thames" w:hAnsi="XO Thames"/>
      <w:b w:val="1"/>
      <w:sz w:val="32"/>
    </w:rPr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4_ch"/>
    <w:link w:val="Style_1"/>
  </w:style>
  <w:style w:styleId="Style_22" w:type="paragraph">
    <w:name w:val="Hyperlink"/>
    <w:link w:val="Style_22_ch"/>
    <w:rPr>
      <w:color w:val="0000FF"/>
      <w:u w:val="single"/>
    </w:rPr>
  </w:style>
  <w:style w:styleId="Style_22_ch" w:type="character">
    <w:name w:val="Hyperlink"/>
    <w:link w:val="Style_22"/>
    <w:rPr>
      <w:color w:val="0000FF"/>
      <w:u w:val="single"/>
    </w:rPr>
  </w:style>
  <w:style w:styleId="Style_23" w:type="paragraph">
    <w:name w:val="Footnote"/>
    <w:link w:val="Style_23_ch"/>
    <w:pPr>
      <w:ind w:firstLine="851" w:left="0"/>
      <w:jc w:val="both"/>
    </w:pPr>
    <w:rPr>
      <w:rFonts w:ascii="XO Thames" w:hAnsi="XO Thames"/>
    </w:rPr>
  </w:style>
  <w:style w:styleId="Style_23_ch" w:type="character">
    <w:name w:val="Footnote"/>
    <w:link w:val="Style_23"/>
    <w:rPr>
      <w:rFonts w:ascii="XO Thames" w:hAnsi="XO Thames"/>
    </w:rPr>
  </w:style>
  <w:style w:styleId="Style_24" w:type="paragraph">
    <w:name w:val="toc 1"/>
    <w:next w:val="Style_4"/>
    <w:link w:val="Style_24_ch"/>
    <w:uiPriority w:val="39"/>
    <w:rPr>
      <w:rFonts w:ascii="XO Thames" w:hAnsi="XO Thames"/>
      <w:b w:val="1"/>
      <w:sz w:val="28"/>
    </w:rPr>
  </w:style>
  <w:style w:styleId="Style_24_ch" w:type="character">
    <w:name w:val="toc 1"/>
    <w:link w:val="Style_24"/>
    <w:rPr>
      <w:rFonts w:ascii="XO Thames" w:hAnsi="XO Thames"/>
      <w:b w:val="1"/>
      <w:sz w:val="28"/>
    </w:rPr>
  </w:style>
  <w:style w:styleId="Style_25" w:type="paragraph">
    <w:name w:val="Header and Footer"/>
    <w:link w:val="Style_25_ch"/>
    <w:pPr>
      <w:spacing w:line="240" w:lineRule="auto"/>
      <w:ind/>
      <w:jc w:val="both"/>
    </w:pPr>
    <w:rPr>
      <w:rFonts w:ascii="XO Thames" w:hAnsi="XO Thames"/>
      <w:sz w:val="20"/>
    </w:rPr>
  </w:style>
  <w:style w:styleId="Style_25_ch" w:type="character">
    <w:name w:val="Header and Footer"/>
    <w:link w:val="Style_25"/>
    <w:rPr>
      <w:rFonts w:ascii="XO Thames" w:hAnsi="XO Thames"/>
      <w:sz w:val="20"/>
    </w:rPr>
  </w:style>
  <w:style w:styleId="Style_26" w:type="paragraph">
    <w:name w:val="Balloon Text"/>
    <w:basedOn w:val="Style_4"/>
    <w:link w:val="Style_26_ch"/>
    <w:pPr>
      <w:spacing w:after="0" w:line="240" w:lineRule="auto"/>
      <w:ind/>
    </w:pPr>
    <w:rPr>
      <w:rFonts w:ascii="Segoe UI" w:hAnsi="Segoe UI"/>
      <w:sz w:val="18"/>
    </w:rPr>
  </w:style>
  <w:style w:styleId="Style_26_ch" w:type="character">
    <w:name w:val="Balloon Text"/>
    <w:basedOn w:val="Style_4_ch"/>
    <w:link w:val="Style_26"/>
    <w:rPr>
      <w:rFonts w:ascii="Segoe UI" w:hAnsi="Segoe UI"/>
      <w:sz w:val="18"/>
    </w:rPr>
  </w:style>
  <w:style w:styleId="Style_27" w:type="paragraph">
    <w:name w:val="toc 9"/>
    <w:next w:val="Style_4"/>
    <w:link w:val="Style_27_ch"/>
    <w:uiPriority w:val="39"/>
    <w:pPr>
      <w:ind w:firstLine="0" w:left="1600"/>
    </w:pPr>
    <w:rPr>
      <w:rFonts w:ascii="XO Thames" w:hAnsi="XO Thames"/>
      <w:sz w:val="28"/>
    </w:rPr>
  </w:style>
  <w:style w:styleId="Style_27_ch" w:type="character">
    <w:name w:val="toc 9"/>
    <w:link w:val="Style_27"/>
    <w:rPr>
      <w:rFonts w:ascii="XO Thames" w:hAnsi="XO Thames"/>
      <w:sz w:val="28"/>
    </w:rPr>
  </w:style>
  <w:style w:styleId="Style_28" w:type="paragraph">
    <w:name w:val="footer"/>
    <w:basedOn w:val="Style_4"/>
    <w:link w:val="Style_28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28_ch" w:type="character">
    <w:name w:val="footer"/>
    <w:basedOn w:val="Style_4_ch"/>
    <w:link w:val="Style_28"/>
    <w:rPr>
      <w:rFonts w:ascii="Times New Roman" w:hAnsi="Times New Roman"/>
      <w:sz w:val="28"/>
    </w:rPr>
  </w:style>
  <w:style w:styleId="Style_29" w:type="paragraph">
    <w:name w:val="Гиперссылка1"/>
    <w:basedOn w:val="Style_7"/>
    <w:link w:val="Style_29_ch"/>
    <w:rPr>
      <w:color w:themeColor="hyperlink" w:val="0563C1"/>
      <w:u w:val="single"/>
    </w:rPr>
  </w:style>
  <w:style w:styleId="Style_29_ch" w:type="character">
    <w:name w:val="Гиперссылка1"/>
    <w:basedOn w:val="Style_7_ch"/>
    <w:link w:val="Style_29"/>
    <w:rPr>
      <w:color w:themeColor="hyperlink" w:val="0563C1"/>
      <w:u w:val="single"/>
    </w:rPr>
  </w:style>
  <w:style w:styleId="Style_30" w:type="paragraph">
    <w:name w:val="toc 8"/>
    <w:next w:val="Style_4"/>
    <w:link w:val="Style_30_ch"/>
    <w:uiPriority w:val="39"/>
    <w:pPr>
      <w:ind w:firstLine="0" w:left="1400"/>
    </w:pPr>
    <w:rPr>
      <w:rFonts w:ascii="XO Thames" w:hAnsi="XO Thames"/>
      <w:sz w:val="28"/>
    </w:rPr>
  </w:style>
  <w:style w:styleId="Style_30_ch" w:type="character">
    <w:name w:val="toc 8"/>
    <w:link w:val="Style_30"/>
    <w:rPr>
      <w:rFonts w:ascii="XO Thames" w:hAnsi="XO Thames"/>
      <w:sz w:val="28"/>
    </w:rPr>
  </w:style>
  <w:style w:styleId="Style_31" w:type="paragraph">
    <w:name w:val="toc 5"/>
    <w:next w:val="Style_4"/>
    <w:link w:val="Style_31_ch"/>
    <w:uiPriority w:val="39"/>
    <w:pPr>
      <w:ind w:firstLine="0" w:left="800"/>
    </w:pPr>
    <w:rPr>
      <w:rFonts w:ascii="XO Thames" w:hAnsi="XO Thames"/>
      <w:sz w:val="28"/>
    </w:rPr>
  </w:style>
  <w:style w:styleId="Style_31_ch" w:type="character">
    <w:name w:val="toc 5"/>
    <w:link w:val="Style_31"/>
    <w:rPr>
      <w:rFonts w:ascii="XO Thames" w:hAnsi="XO Thames"/>
      <w:sz w:val="28"/>
    </w:rPr>
  </w:style>
  <w:style w:styleId="Style_32" w:type="paragraph">
    <w:name w:val="Subtitle"/>
    <w:next w:val="Style_4"/>
    <w:link w:val="Style_3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2_ch" w:type="character">
    <w:name w:val="Subtitle"/>
    <w:link w:val="Style_32"/>
    <w:rPr>
      <w:rFonts w:ascii="XO Thames" w:hAnsi="XO Thames"/>
      <w:i w:val="1"/>
      <w:sz w:val="24"/>
    </w:rPr>
  </w:style>
  <w:style w:styleId="Style_33" w:type="paragraph">
    <w:name w:val="Обычный1"/>
    <w:link w:val="Style_33_ch"/>
  </w:style>
  <w:style w:styleId="Style_33_ch" w:type="character">
    <w:name w:val="Обычный1"/>
    <w:link w:val="Style_33"/>
  </w:style>
  <w:style w:styleId="Style_34" w:type="paragraph">
    <w:name w:val="Title"/>
    <w:next w:val="Style_4"/>
    <w:link w:val="Style_3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4_ch" w:type="character">
    <w:name w:val="Title"/>
    <w:link w:val="Style_34"/>
    <w:rPr>
      <w:rFonts w:ascii="XO Thames" w:hAnsi="XO Thames"/>
      <w:b w:val="1"/>
      <w:caps w:val="1"/>
      <w:sz w:val="40"/>
    </w:rPr>
  </w:style>
  <w:style w:styleId="Style_35" w:type="paragraph">
    <w:name w:val="heading 4"/>
    <w:next w:val="Style_4"/>
    <w:link w:val="Style_3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5_ch" w:type="character">
    <w:name w:val="heading 4"/>
    <w:link w:val="Style_35"/>
    <w:rPr>
      <w:rFonts w:ascii="XO Thames" w:hAnsi="XO Thames"/>
      <w:b w:val="1"/>
      <w:sz w:val="24"/>
    </w:rPr>
  </w:style>
  <w:style w:styleId="Style_36" w:type="paragraph">
    <w:name w:val="heading 2"/>
    <w:next w:val="Style_4"/>
    <w:link w:val="Style_3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6_ch" w:type="character">
    <w:name w:val="heading 2"/>
    <w:link w:val="Style_36"/>
    <w:rPr>
      <w:rFonts w:ascii="XO Thames" w:hAnsi="XO Thames"/>
      <w:b w:val="1"/>
      <w:sz w:val="28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7" w:type="table">
    <w:name w:val="Сетка таблицы1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" w:type="table">
    <w:name w:val="Table Grid"/>
    <w:basedOn w:val="Style_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8" w:type="table">
    <w:name w:val="Сетка таблицы2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2023-08-31T22:40:24Z</dcterms:modified>
</cp:coreProperties>
</file>