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1073" w:val="left"/>
        </w:tabs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Миграционная ситуация за 2022 год</w:t>
      </w:r>
    </w:p>
    <w:p w14:paraId="04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постоянного населения Камчатского края на 01.01.2023 года составила 289,0 тыс. человек (с учетом итогов Всероссийской переписи населения 2020 года). </w:t>
      </w:r>
      <w:r>
        <w:rPr>
          <w:rFonts w:ascii="Times New Roman" w:hAnsi="Times New Roman"/>
          <w:sz w:val="28"/>
        </w:rPr>
        <w:t>Уменьшение численности населения на 22,2% обусловлено естественной убылью населения и на 77,8% миграционным оттоком.</w:t>
      </w:r>
    </w:p>
    <w:p w14:paraId="05000000">
      <w:pPr>
        <w:tabs>
          <w:tab w:leader="none" w:pos="1073" w:val="left"/>
        </w:tabs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Миграция населения в </w:t>
      </w:r>
      <w:r>
        <w:rPr>
          <w:rFonts w:ascii="Times New Roman" w:hAnsi="Times New Roman"/>
          <w:sz w:val="28"/>
        </w:rPr>
        <w:t>Камчатском крае за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выглядит следующим образом.</w:t>
      </w:r>
    </w:p>
    <w:tbl>
      <w:tblPr>
        <w:tblStyle w:val="Style_3"/>
        <w:tblLayout w:type="fixed"/>
        <w:tblCellMar>
          <w:left w:type="dxa" w:w="10"/>
          <w:right w:type="dxa" w:w="10"/>
        </w:tblCellMar>
      </w:tblPr>
      <w:tblGrid>
        <w:gridCol w:w="4607"/>
        <w:gridCol w:w="25"/>
        <w:gridCol w:w="40"/>
        <w:gridCol w:w="1630"/>
        <w:gridCol w:w="12"/>
        <w:gridCol w:w="1760"/>
        <w:gridCol w:w="38"/>
        <w:gridCol w:w="20"/>
        <w:gridCol w:w="1926"/>
        <w:gridCol w:w="6"/>
      </w:tblGrid>
      <w:tr>
        <w:trPr>
          <w:trHeight w:hRule="atLeast" w:val="411"/>
        </w:trPr>
        <w:tc>
          <w:tcPr>
            <w:tcW w:type="dxa" w:w="4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7000000">
            <w:pPr>
              <w:pStyle w:val="Style_4"/>
              <w:spacing w:line="276" w:lineRule="auto"/>
              <w:ind w:firstLine="0" w:lef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Прибыло</w:t>
            </w:r>
          </w:p>
        </w:tc>
        <w:tc>
          <w:tcPr>
            <w:tcW w:type="dxa" w:w="18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8000000">
            <w:pPr>
              <w:pStyle w:val="Style_4"/>
              <w:spacing w:line="276" w:lineRule="auto"/>
              <w:ind w:firstLine="0" w:lef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Убыло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9000000">
            <w:pPr>
              <w:pStyle w:val="Style_4"/>
              <w:spacing w:line="276" w:lineRule="auto"/>
              <w:ind w:firstLine="0" w:lef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Сальдо</w:t>
            </w:r>
          </w:p>
        </w:tc>
        <w:tc>
          <w:tcPr>
            <w:tcW w:type="dxa" w:w="6"/>
            <w:tcMar>
              <w:left w:type="dxa" w:w="10"/>
              <w:right w:type="dxa" w:w="10"/>
            </w:tcMar>
          </w:tcPr>
          <w:p/>
        </w:tc>
      </w:tr>
      <w:tr>
        <w:trPr>
          <w:trHeight w:hRule="atLeast" w:val="318"/>
        </w:trPr>
        <w:tc>
          <w:tcPr>
            <w:tcW w:type="dxa" w:w="1006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A000000">
            <w:pPr>
              <w:pStyle w:val="Style_4"/>
              <w:spacing w:line="276" w:lineRule="auto"/>
              <w:ind w:firstLine="0" w:left="438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 2022 год </w:t>
            </w:r>
          </w:p>
        </w:tc>
      </w:tr>
      <w:tr>
        <w:trPr>
          <w:trHeight w:hRule="atLeast" w:val="318"/>
        </w:trPr>
        <w:tc>
          <w:tcPr>
            <w:tcW w:type="dxa" w:w="46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Внутренняя миграция граждане РФ*</w:t>
            </w:r>
          </w:p>
        </w:tc>
        <w:tc>
          <w:tcPr>
            <w:tcW w:type="dxa" w:w="1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6656</w:t>
            </w:r>
          </w:p>
        </w:tc>
        <w:tc>
          <w:tcPr>
            <w:tcW w:type="dxa" w:w="18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7139</w:t>
            </w:r>
          </w:p>
        </w:tc>
        <w:tc>
          <w:tcPr>
            <w:tcW w:type="dxa" w:w="19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-483</w:t>
            </w:r>
          </w:p>
        </w:tc>
      </w:tr>
      <w:tr>
        <w:trPr>
          <w:trHeight w:hRule="atLeast" w:val="318"/>
        </w:trPr>
        <w:tc>
          <w:tcPr>
            <w:tcW w:type="dxa" w:w="46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Внешняя миграция иностранные граждане</w:t>
            </w:r>
          </w:p>
        </w:tc>
        <w:tc>
          <w:tcPr>
            <w:tcW w:type="dxa" w:w="1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3297</w:t>
            </w:r>
          </w:p>
        </w:tc>
        <w:tc>
          <w:tcPr>
            <w:tcW w:type="dxa" w:w="18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5807</w:t>
            </w:r>
          </w:p>
        </w:tc>
        <w:tc>
          <w:tcPr>
            <w:tcW w:type="dxa" w:w="19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-2510</w:t>
            </w:r>
          </w:p>
        </w:tc>
      </w:tr>
      <w:tr>
        <w:trPr>
          <w:trHeight w:hRule="atLeast" w:val="318"/>
        </w:trPr>
        <w:tc>
          <w:tcPr>
            <w:tcW w:type="dxa" w:w="46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type="dxa" w:w="1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9953</w:t>
            </w:r>
          </w:p>
        </w:tc>
        <w:tc>
          <w:tcPr>
            <w:tcW w:type="dxa" w:w="18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12946</w:t>
            </w:r>
          </w:p>
        </w:tc>
        <w:tc>
          <w:tcPr>
            <w:tcW w:type="dxa" w:w="19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-2993</w:t>
            </w:r>
          </w:p>
        </w:tc>
      </w:tr>
      <w:tr>
        <w:trPr>
          <w:trHeight w:hRule="atLeast" w:val="318"/>
        </w:trPr>
        <w:tc>
          <w:tcPr>
            <w:tcW w:type="dxa" w:w="1006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7000000">
            <w:r>
              <w:rPr>
                <w:rFonts w:ascii="Times New Roman" w:hAnsi="Times New Roman"/>
                <w:sz w:val="28"/>
              </w:rPr>
              <w:t>*без внутрирегиональной</w:t>
            </w:r>
          </w:p>
        </w:tc>
      </w:tr>
    </w:tbl>
    <w:p w14:paraId="18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миграции в сравнении с аналогичным периодом прошлого года </w:t>
      </w: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 xml:space="preserve">изменилась, </w:t>
      </w:r>
      <w:r>
        <w:rPr>
          <w:rFonts w:ascii="Times New Roman" w:hAnsi="Times New Roman"/>
          <w:sz w:val="28"/>
        </w:rPr>
        <w:t>также продол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ается </w:t>
      </w:r>
      <w:r>
        <w:rPr>
          <w:rFonts w:ascii="Times New Roman" w:hAnsi="Times New Roman"/>
          <w:sz w:val="28"/>
        </w:rPr>
        <w:t>отрицательное</w:t>
      </w:r>
      <w:r>
        <w:rPr>
          <w:rFonts w:ascii="Times New Roman" w:hAnsi="Times New Roman"/>
          <w:sz w:val="28"/>
        </w:rPr>
        <w:t xml:space="preserve"> сальдо миграции, за счет убытия иностранных граждан с территории Камчатского края. </w:t>
      </w:r>
    </w:p>
    <w:p w14:paraId="1A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составляющими миграции Камчатского края являются межрегиональная, внутрирегиональная и международная миграция.</w:t>
      </w:r>
    </w:p>
    <w:p w14:paraId="1B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структуре миграционных связей Камчатского края за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года основное место традиционно занимала межрегиональная миграция, составляя 51</w:t>
      </w:r>
      <w:r>
        <w:rPr>
          <w:rFonts w:ascii="Times New Roman" w:hAnsi="Times New Roman"/>
          <w:sz w:val="28"/>
        </w:rPr>
        <w:t>,5</w:t>
      </w:r>
      <w:r>
        <w:rPr>
          <w:rFonts w:ascii="Times New Roman" w:hAnsi="Times New Roman"/>
          <w:sz w:val="28"/>
        </w:rPr>
        <w:t>%, на долю международной миграции приходилось – 25,5</w:t>
      </w:r>
      <w:r>
        <w:rPr>
          <w:rFonts w:ascii="Times New Roman" w:hAnsi="Times New Roman"/>
          <w:sz w:val="28"/>
        </w:rPr>
        <w:t>% и внутрирегиональной миграции – 22,3</w:t>
      </w:r>
      <w:r>
        <w:rPr>
          <w:rFonts w:ascii="Times New Roman" w:hAnsi="Times New Roman"/>
          <w:sz w:val="28"/>
        </w:rPr>
        <w:t xml:space="preserve">%. </w:t>
      </w:r>
    </w:p>
    <w:p w14:paraId="1C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тесные миграционные связи у Камчатского края традиционно сложились со странами СНГ – 9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,4% прибывших международных мигрантов пришлось именно на эти страны.</w:t>
      </w: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5_ch"/>
    <w:link w:val="Style_12"/>
  </w:style>
  <w:style w:styleId="Style_4" w:type="paragraph">
    <w:name w:val="Основной текст1"/>
    <w:basedOn w:val="Style_5"/>
    <w:link w:val="Style_4_ch"/>
    <w:pPr>
      <w:spacing w:after="0" w:line="0" w:lineRule="atLeast"/>
      <w:ind/>
    </w:pPr>
    <w:rPr>
      <w:sz w:val="23"/>
    </w:rPr>
  </w:style>
  <w:style w:styleId="Style_4_ch" w:type="character">
    <w:name w:val="Основной текст1"/>
    <w:basedOn w:val="Style_5_ch"/>
    <w:link w:val="Style_4"/>
    <w:rPr>
      <w:sz w:val="23"/>
    </w:rPr>
  </w:style>
  <w:style w:styleId="Style_13" w:type="paragraph">
    <w:link w:val="Style_13_ch"/>
    <w:semiHidden w:val="1"/>
    <w:unhideWhenUsed w:val="1"/>
    <w:pPr>
      <w:spacing w:after="0" w:line="240" w:lineRule="auto"/>
      <w:ind/>
    </w:pPr>
  </w:style>
  <w:style w:styleId="Style_13_ch" w:type="character">
    <w:link w:val="Style_13"/>
    <w:semiHidden w:val="1"/>
    <w:unhideWhenUsed w:val="1"/>
  </w:style>
  <w:style w:styleId="Style_14" w:type="paragraph">
    <w:name w:val="Normal (Web)"/>
    <w:basedOn w:val="Style_5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5_ch"/>
    <w:link w:val="Style_14"/>
    <w:rPr>
      <w:rFonts w:ascii="Times New Roman" w:hAnsi="Times New Roman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"/>
    <w:basedOn w:val="Style_5"/>
    <w:link w:val="Style_17_ch"/>
    <w:pPr>
      <w:spacing w:after="0" w:line="322" w:lineRule="exact"/>
      <w:ind/>
    </w:pPr>
    <w:rPr>
      <w:rFonts w:ascii="Times New Roman" w:hAnsi="Times New Roman"/>
      <w:sz w:val="27"/>
    </w:rPr>
  </w:style>
  <w:style w:styleId="Style_17_ch" w:type="character">
    <w:name w:val="Body Text"/>
    <w:basedOn w:val="Style_5_ch"/>
    <w:link w:val="Style_17"/>
    <w:rPr>
      <w:rFonts w:ascii="Times New Roman" w:hAnsi="Times New Roman"/>
      <w:sz w:val="27"/>
    </w:rPr>
  </w:style>
  <w:style w:styleId="Style_18" w:type="paragraph">
    <w:name w:val="Balloon Text"/>
    <w:basedOn w:val="Style_5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5_ch"/>
    <w:link w:val="Style_18"/>
    <w:rPr>
      <w:rFonts w:ascii="Segoe UI" w:hAnsi="Segoe UI"/>
      <w:sz w:val="1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5"/>
    <w:link w:val="Style_20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0_ch" w:type="character">
    <w:name w:val="heading 1"/>
    <w:basedOn w:val="Style_5_ch"/>
    <w:link w:val="Style_20"/>
    <w:rPr>
      <w:rFonts w:ascii="Times New Roman" w:hAnsi="Times New Roman"/>
      <w:b w:val="1"/>
      <w:sz w:val="48"/>
    </w:rPr>
  </w:style>
  <w:style w:styleId="Style_21" w:type="paragraph">
    <w:name w:val="Hyperlink"/>
    <w:basedOn w:val="Style_15"/>
    <w:link w:val="Style_21_ch"/>
    <w:rPr>
      <w:color w:val="0000FF"/>
      <w:u w:val="single"/>
    </w:rPr>
  </w:style>
  <w:style w:styleId="Style_21_ch" w:type="character">
    <w:name w:val="Hyperlink"/>
    <w:basedOn w:val="Style_15_ch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2023-07-20T03:56:50Z</dcterms:modified>
</cp:coreProperties>
</file>